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CCFA2">
      <w:pPr>
        <w:snapToGrid w:val="0"/>
        <w:spacing w:line="360" w:lineRule="auto"/>
        <w:rPr>
          <w:rFonts w:hint="eastAsia" w:ascii="仿宋" w:hAnsi="仿宋" w:eastAsia="仿宋"/>
          <w:b/>
          <w:szCs w:val="28"/>
        </w:rPr>
      </w:pPr>
      <w:r>
        <w:rPr>
          <w:rFonts w:hint="eastAsia" w:ascii="仿宋" w:hAnsi="仿宋" w:eastAsia="仿宋"/>
          <w:b/>
          <w:szCs w:val="28"/>
        </w:rPr>
        <w:t>附表1</w:t>
      </w:r>
    </w:p>
    <w:p w14:paraId="3CC652D5">
      <w:pPr>
        <w:snapToGrid w:val="0"/>
        <w:spacing w:line="360" w:lineRule="auto"/>
        <w:jc w:val="center"/>
        <w:rPr>
          <w:rFonts w:hint="eastAsia" w:ascii="宋体" w:hAnsi="宋体" w:eastAsia="宋体"/>
          <w:b/>
          <w:sz w:val="32"/>
          <w:szCs w:val="32"/>
        </w:rPr>
      </w:pPr>
      <w:r>
        <w:rPr>
          <w:rFonts w:hint="eastAsia" w:ascii="宋体" w:hAnsi="宋体" w:eastAsia="宋体"/>
          <w:b/>
          <w:color w:val="000000" w:themeColor="text1"/>
          <w:sz w:val="32"/>
          <w:szCs w:val="32"/>
          <w14:textFill>
            <w14:solidFill>
              <w14:schemeClr w14:val="tx1"/>
            </w14:solidFill>
          </w14:textFill>
        </w:rPr>
        <w:t>协会</w:t>
      </w:r>
      <w:r>
        <w:rPr>
          <w:rFonts w:hint="eastAsia" w:ascii="宋体" w:hAnsi="宋体" w:eastAsia="宋体"/>
          <w:b/>
          <w:sz w:val="32"/>
          <w:szCs w:val="32"/>
        </w:rPr>
        <w:t>标准项目建议书</w:t>
      </w:r>
    </w:p>
    <w:tbl>
      <w:tblPr>
        <w:tblStyle w:val="6"/>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1195"/>
        <w:gridCol w:w="540"/>
        <w:gridCol w:w="540"/>
        <w:gridCol w:w="1189"/>
        <w:gridCol w:w="625"/>
        <w:gridCol w:w="913"/>
        <w:gridCol w:w="788"/>
        <w:gridCol w:w="1900"/>
      </w:tblGrid>
      <w:tr w14:paraId="578C0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050" w:type="dxa"/>
            <w:vAlign w:val="center"/>
          </w:tcPr>
          <w:p w14:paraId="1F647BF7">
            <w:pPr>
              <w:snapToGrid w:val="0"/>
              <w:spacing w:line="360" w:lineRule="auto"/>
              <w:jc w:val="center"/>
              <w:rPr>
                <w:rFonts w:hint="eastAsia" w:ascii="宋体" w:hAnsi="宋体" w:eastAsia="宋体"/>
                <w:sz w:val="18"/>
                <w:szCs w:val="18"/>
              </w:rPr>
            </w:pPr>
            <w:r>
              <w:rPr>
                <w:rFonts w:hint="eastAsia" w:ascii="宋体" w:hAnsi="宋体" w:eastAsia="宋体"/>
                <w:sz w:val="18"/>
                <w:szCs w:val="18"/>
              </w:rPr>
              <w:t>建议项目名称</w:t>
            </w:r>
          </w:p>
          <w:p w14:paraId="6CF46A40">
            <w:pPr>
              <w:snapToGrid w:val="0"/>
              <w:spacing w:line="360" w:lineRule="auto"/>
              <w:ind w:left="-5" w:leftChars="-6" w:hanging="12" w:hangingChars="7"/>
              <w:jc w:val="center"/>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464" w:type="dxa"/>
            <w:gridSpan w:val="4"/>
            <w:vAlign w:val="center"/>
          </w:tcPr>
          <w:p w14:paraId="779D09F0">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《水泥熟料替代原料应用技术规范 镁渣》</w:t>
            </w:r>
          </w:p>
        </w:tc>
        <w:tc>
          <w:tcPr>
            <w:tcW w:w="1538" w:type="dxa"/>
            <w:gridSpan w:val="2"/>
            <w:vAlign w:val="center"/>
          </w:tcPr>
          <w:p w14:paraId="5E934395">
            <w:pPr>
              <w:snapToGrid w:val="0"/>
              <w:spacing w:line="360" w:lineRule="auto"/>
              <w:jc w:val="center"/>
              <w:rPr>
                <w:rFonts w:hint="eastAsia" w:ascii="宋体" w:hAnsi="宋体" w:eastAsia="宋体"/>
                <w:sz w:val="18"/>
                <w:szCs w:val="18"/>
              </w:rPr>
            </w:pPr>
            <w:r>
              <w:rPr>
                <w:rFonts w:hint="eastAsia" w:ascii="宋体" w:hAnsi="宋体" w:eastAsia="宋体"/>
                <w:sz w:val="18"/>
                <w:szCs w:val="18"/>
              </w:rPr>
              <w:t>建议项目名称</w:t>
            </w:r>
          </w:p>
          <w:p w14:paraId="52948DA9">
            <w:pPr>
              <w:snapToGrid w:val="0"/>
              <w:spacing w:line="360" w:lineRule="auto"/>
              <w:jc w:val="center"/>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88" w:type="dxa"/>
            <w:gridSpan w:val="2"/>
            <w:vAlign w:val="center"/>
          </w:tcPr>
          <w:p w14:paraId="145E44A0">
            <w:pPr>
              <w:pStyle w:val="13"/>
              <w:pBdr>
                <w:top w:val="none" w:color="auto" w:sz="0" w:space="0"/>
                <w:left w:val="none" w:color="auto" w:sz="0" w:space="0"/>
                <w:bottom w:val="none" w:color="auto" w:sz="0" w:space="0"/>
                <w:right w:val="none" w:color="auto" w:sz="0" w:space="0"/>
              </w:pBdr>
              <w:jc w:val="left"/>
              <w:textAlignment w:val="bottom"/>
              <w:rPr>
                <w:rFonts w:hint="eastAsia" w:ascii="宋体" w:hAnsi="宋体" w:eastAsia="宋体"/>
                <w:sz w:val="18"/>
                <w:szCs w:val="18"/>
              </w:rPr>
            </w:pPr>
            <w:r>
              <w:rPr>
                <w:rFonts w:hint="eastAsia" w:ascii="宋体" w:hAnsi="宋体" w:eastAsia="宋体"/>
                <w:sz w:val="18"/>
                <w:szCs w:val="18"/>
              </w:rPr>
              <w:t>Technical specification for application of raw</w:t>
            </w:r>
            <w:r>
              <w:rPr>
                <w:rFonts w:hint="eastAsia" w:ascii="宋体" w:hAnsi="宋体" w:eastAsia="宋体"/>
                <w:sz w:val="18"/>
                <w:szCs w:val="18"/>
                <w:lang w:val="en-US" w:eastAsia="zh-CN"/>
              </w:rPr>
              <w:t xml:space="preserve"> </w:t>
            </w:r>
            <w:r>
              <w:rPr>
                <w:rFonts w:hint="eastAsia" w:ascii="宋体" w:hAnsi="宋体" w:eastAsia="宋体"/>
                <w:sz w:val="18"/>
                <w:szCs w:val="18"/>
              </w:rPr>
              <w:t>materials</w:t>
            </w:r>
            <w:r>
              <w:rPr>
                <w:rFonts w:hint="eastAsia" w:ascii="宋体" w:hAnsi="宋体" w:eastAsia="宋体"/>
                <w:sz w:val="18"/>
                <w:szCs w:val="18"/>
                <w:lang w:val="en-US" w:eastAsia="zh-CN"/>
              </w:rPr>
              <w:t xml:space="preserve"> </w:t>
            </w:r>
            <w:r>
              <w:rPr>
                <w:rFonts w:hint="eastAsia" w:ascii="宋体" w:hAnsi="宋体" w:eastAsia="宋体"/>
                <w:sz w:val="18"/>
                <w:szCs w:val="18"/>
              </w:rPr>
              <w:t>alternative in</w:t>
            </w:r>
            <w:r>
              <w:rPr>
                <w:rFonts w:hint="eastAsia" w:ascii="宋体" w:hAnsi="宋体"/>
                <w:sz w:val="18"/>
                <w:szCs w:val="18"/>
                <w:lang w:val="en-US" w:eastAsia="zh-CN"/>
              </w:rPr>
              <w:t xml:space="preserve"> </w:t>
            </w:r>
            <w:r>
              <w:rPr>
                <w:rFonts w:hint="eastAsia" w:ascii="宋体" w:hAnsi="宋体" w:eastAsia="宋体"/>
                <w:sz w:val="18"/>
                <w:szCs w:val="18"/>
                <w:lang w:val="en-US" w:eastAsia="zh-CN"/>
              </w:rPr>
              <w:t>c</w:t>
            </w:r>
            <w:r>
              <w:rPr>
                <w:rFonts w:hint="eastAsia" w:ascii="宋体" w:hAnsi="宋体" w:eastAsia="宋体"/>
                <w:sz w:val="18"/>
                <w:szCs w:val="18"/>
              </w:rPr>
              <w:t>ement</w:t>
            </w:r>
            <w:r>
              <w:rPr>
                <w:rFonts w:hint="eastAsia" w:ascii="宋体" w:hAnsi="宋体"/>
                <w:sz w:val="18"/>
                <w:szCs w:val="18"/>
                <w:lang w:val="en-US" w:eastAsia="zh-CN"/>
              </w:rPr>
              <w:t xml:space="preserve"> </w:t>
            </w:r>
            <w:r>
              <w:rPr>
                <w:rFonts w:hint="eastAsia" w:ascii="宋体" w:hAnsi="宋体" w:eastAsia="宋体"/>
                <w:sz w:val="18"/>
                <w:szCs w:val="18"/>
              </w:rPr>
              <w:t>clinker—</w:t>
            </w:r>
            <w:r>
              <w:rPr>
                <w:rFonts w:hint="eastAsia" w:ascii="宋体" w:hAnsi="宋体"/>
                <w:sz w:val="18"/>
                <w:szCs w:val="18"/>
                <w:lang w:val="en-US" w:eastAsia="zh-CN"/>
              </w:rPr>
              <w:t>M</w:t>
            </w:r>
            <w:r>
              <w:rPr>
                <w:rFonts w:hint="eastAsia" w:ascii="宋体" w:hAnsi="宋体" w:eastAsia="宋体"/>
                <w:sz w:val="18"/>
                <w:szCs w:val="18"/>
              </w:rPr>
              <w:t>agnesium slag</w:t>
            </w:r>
          </w:p>
        </w:tc>
      </w:tr>
      <w:tr w14:paraId="79F3C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050" w:type="dxa"/>
            <w:vAlign w:val="center"/>
          </w:tcPr>
          <w:p w14:paraId="31F1EBF7">
            <w:pPr>
              <w:snapToGrid w:val="0"/>
              <w:spacing w:line="360" w:lineRule="auto"/>
              <w:jc w:val="center"/>
              <w:rPr>
                <w:rFonts w:hint="eastAsia" w:ascii="宋体" w:hAnsi="宋体" w:eastAsia="宋体"/>
                <w:sz w:val="18"/>
                <w:szCs w:val="18"/>
              </w:rPr>
            </w:pPr>
            <w:r>
              <w:rPr>
                <w:rFonts w:hint="eastAsia" w:ascii="宋体" w:hAnsi="宋体" w:eastAsia="宋体"/>
                <w:sz w:val="18"/>
                <w:szCs w:val="18"/>
              </w:rPr>
              <w:t>制定或修订</w:t>
            </w:r>
          </w:p>
        </w:tc>
        <w:tc>
          <w:tcPr>
            <w:tcW w:w="1735" w:type="dxa"/>
            <w:gridSpan w:val="2"/>
            <w:vAlign w:val="center"/>
          </w:tcPr>
          <w:p w14:paraId="28F63BF9">
            <w:pPr>
              <w:snapToGrid w:val="0"/>
              <w:spacing w:line="360" w:lineRule="auto"/>
              <w:rPr>
                <w:rFonts w:hint="eastAsia" w:ascii="宋体" w:hAnsi="宋体" w:eastAsia="宋体"/>
                <w:sz w:val="18"/>
                <w:szCs w:val="18"/>
              </w:rPr>
            </w:pPr>
            <w:r>
              <w:rPr>
                <w:rFonts w:ascii="Segoe UI Symbol" w:hAnsi="Segoe UI Symbol" w:eastAsia="宋体" w:cs="Segoe UI Symbol"/>
                <w:sz w:val="18"/>
                <w:szCs w:val="18"/>
              </w:rPr>
              <w:t>☑</w:t>
            </w:r>
            <w:r>
              <w:rPr>
                <w:rFonts w:hint="eastAsia" w:ascii="宋体" w:hAnsi="宋体" w:eastAsia="宋体"/>
                <w:sz w:val="18"/>
                <w:szCs w:val="18"/>
              </w:rPr>
              <w:t xml:space="preserve"> 制定</w:t>
            </w:r>
          </w:p>
        </w:tc>
        <w:tc>
          <w:tcPr>
            <w:tcW w:w="1729" w:type="dxa"/>
            <w:gridSpan w:val="2"/>
            <w:vAlign w:val="center"/>
          </w:tcPr>
          <w:p w14:paraId="09677FC0">
            <w:pPr>
              <w:snapToGrid w:val="0"/>
              <w:spacing w:line="360" w:lineRule="auto"/>
              <w:rPr>
                <w:rFonts w:hint="eastAsia" w:ascii="宋体" w:hAnsi="宋体" w:eastAsia="宋体"/>
                <w:sz w:val="18"/>
                <w:szCs w:val="18"/>
              </w:rPr>
            </w:pPr>
            <w:r>
              <w:rPr>
                <w:rFonts w:hint="eastAsia" w:ascii="宋体" w:hAnsi="宋体" w:eastAsia="宋体"/>
                <w:sz w:val="18"/>
                <w:szCs w:val="18"/>
              </w:rPr>
              <w:t>□ 修订</w:t>
            </w:r>
          </w:p>
        </w:tc>
        <w:tc>
          <w:tcPr>
            <w:tcW w:w="1538" w:type="dxa"/>
            <w:gridSpan w:val="2"/>
            <w:vAlign w:val="center"/>
          </w:tcPr>
          <w:p w14:paraId="629C9661">
            <w:pPr>
              <w:snapToGrid w:val="0"/>
              <w:spacing w:line="360" w:lineRule="auto"/>
              <w:jc w:val="center"/>
              <w:rPr>
                <w:rFonts w:hint="eastAsia" w:ascii="宋体" w:hAnsi="宋体" w:eastAsia="宋体"/>
                <w:sz w:val="18"/>
                <w:szCs w:val="18"/>
              </w:rPr>
            </w:pPr>
            <w:r>
              <w:rPr>
                <w:rFonts w:hint="eastAsia" w:ascii="宋体" w:hAnsi="宋体" w:eastAsia="宋体"/>
                <w:sz w:val="18"/>
                <w:szCs w:val="18"/>
              </w:rPr>
              <w:t>被修订标准号</w:t>
            </w:r>
          </w:p>
        </w:tc>
        <w:tc>
          <w:tcPr>
            <w:tcW w:w="2688" w:type="dxa"/>
            <w:gridSpan w:val="2"/>
            <w:vAlign w:val="center"/>
          </w:tcPr>
          <w:p w14:paraId="2C41F8D5">
            <w:pPr>
              <w:snapToGrid w:val="0"/>
              <w:spacing w:line="360" w:lineRule="auto"/>
              <w:rPr>
                <w:rFonts w:hint="eastAsia" w:ascii="宋体" w:hAnsi="宋体" w:eastAsia="宋体"/>
                <w:sz w:val="18"/>
                <w:szCs w:val="18"/>
              </w:rPr>
            </w:pPr>
          </w:p>
        </w:tc>
      </w:tr>
      <w:tr w14:paraId="412B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050" w:type="dxa"/>
            <w:vAlign w:val="center"/>
          </w:tcPr>
          <w:p w14:paraId="17D728EC">
            <w:pPr>
              <w:snapToGrid w:val="0"/>
              <w:spacing w:line="360" w:lineRule="auto"/>
              <w:jc w:val="center"/>
              <w:rPr>
                <w:rFonts w:hint="eastAsia" w:ascii="宋体" w:hAnsi="宋体" w:eastAsia="宋体"/>
                <w:sz w:val="18"/>
                <w:szCs w:val="18"/>
              </w:rPr>
            </w:pPr>
            <w:r>
              <w:rPr>
                <w:rFonts w:hint="eastAsia" w:ascii="宋体" w:hAnsi="宋体" w:eastAsia="宋体"/>
                <w:sz w:val="18"/>
                <w:szCs w:val="18"/>
              </w:rPr>
              <w:t>采用程度</w:t>
            </w:r>
          </w:p>
        </w:tc>
        <w:tc>
          <w:tcPr>
            <w:tcW w:w="1195" w:type="dxa"/>
            <w:vAlign w:val="center"/>
          </w:tcPr>
          <w:p w14:paraId="3449916B">
            <w:pPr>
              <w:snapToGrid w:val="0"/>
              <w:spacing w:line="360" w:lineRule="auto"/>
              <w:rPr>
                <w:rFonts w:hint="eastAsia" w:ascii="宋体" w:hAnsi="宋体" w:eastAsia="宋体"/>
                <w:sz w:val="18"/>
                <w:szCs w:val="18"/>
              </w:rPr>
            </w:pPr>
            <w:r>
              <w:rPr>
                <w:rFonts w:hint="eastAsia" w:ascii="宋体" w:hAnsi="宋体" w:eastAsia="宋体"/>
                <w:sz w:val="18"/>
                <w:szCs w:val="18"/>
              </w:rPr>
              <w:t>□ IDT</w:t>
            </w:r>
          </w:p>
        </w:tc>
        <w:tc>
          <w:tcPr>
            <w:tcW w:w="1080" w:type="dxa"/>
            <w:gridSpan w:val="2"/>
            <w:vAlign w:val="center"/>
          </w:tcPr>
          <w:p w14:paraId="055C8BBE">
            <w:pPr>
              <w:snapToGrid w:val="0"/>
              <w:spacing w:line="360" w:lineRule="auto"/>
              <w:rPr>
                <w:rFonts w:hint="eastAsia" w:ascii="宋体" w:hAnsi="宋体" w:eastAsia="宋体"/>
                <w:sz w:val="18"/>
                <w:szCs w:val="18"/>
              </w:rPr>
            </w:pPr>
            <w:r>
              <w:rPr>
                <w:rFonts w:hint="eastAsia" w:ascii="宋体" w:hAnsi="宋体" w:eastAsia="宋体"/>
                <w:sz w:val="18"/>
                <w:szCs w:val="18"/>
              </w:rPr>
              <w:t>□ MOD</w:t>
            </w:r>
          </w:p>
        </w:tc>
        <w:tc>
          <w:tcPr>
            <w:tcW w:w="1189" w:type="dxa"/>
            <w:vAlign w:val="center"/>
          </w:tcPr>
          <w:p w14:paraId="4A69B1A5">
            <w:pPr>
              <w:snapToGrid w:val="0"/>
              <w:spacing w:line="360" w:lineRule="auto"/>
              <w:rPr>
                <w:rFonts w:hint="eastAsia" w:ascii="宋体" w:hAnsi="宋体" w:eastAsia="宋体"/>
                <w:sz w:val="18"/>
                <w:szCs w:val="18"/>
              </w:rPr>
            </w:pPr>
            <w:r>
              <w:rPr>
                <w:rFonts w:hint="eastAsia" w:ascii="宋体" w:hAnsi="宋体" w:eastAsia="宋体"/>
                <w:sz w:val="18"/>
                <w:szCs w:val="18"/>
              </w:rPr>
              <w:t>□ NEQ</w:t>
            </w:r>
          </w:p>
        </w:tc>
        <w:tc>
          <w:tcPr>
            <w:tcW w:w="1538" w:type="dxa"/>
            <w:gridSpan w:val="2"/>
            <w:vAlign w:val="center"/>
          </w:tcPr>
          <w:p w14:paraId="53D0D491">
            <w:pPr>
              <w:snapToGrid w:val="0"/>
              <w:spacing w:line="360" w:lineRule="auto"/>
              <w:jc w:val="center"/>
              <w:rPr>
                <w:rFonts w:hint="eastAsia" w:ascii="宋体" w:hAnsi="宋体" w:eastAsia="宋体"/>
                <w:sz w:val="18"/>
                <w:szCs w:val="18"/>
              </w:rPr>
            </w:pPr>
            <w:r>
              <w:rPr>
                <w:rFonts w:hint="eastAsia" w:ascii="宋体" w:hAnsi="宋体" w:eastAsia="宋体"/>
                <w:sz w:val="18"/>
                <w:szCs w:val="18"/>
              </w:rPr>
              <w:t>采标号</w:t>
            </w:r>
          </w:p>
        </w:tc>
        <w:tc>
          <w:tcPr>
            <w:tcW w:w="2688" w:type="dxa"/>
            <w:gridSpan w:val="2"/>
            <w:vAlign w:val="center"/>
          </w:tcPr>
          <w:p w14:paraId="0D779F69">
            <w:pPr>
              <w:snapToGrid w:val="0"/>
              <w:spacing w:line="360" w:lineRule="auto"/>
              <w:rPr>
                <w:rFonts w:hint="eastAsia" w:ascii="宋体" w:hAnsi="宋体" w:eastAsia="宋体"/>
                <w:sz w:val="18"/>
                <w:szCs w:val="18"/>
              </w:rPr>
            </w:pPr>
          </w:p>
        </w:tc>
      </w:tr>
      <w:tr w14:paraId="5075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050" w:type="dxa"/>
            <w:vAlign w:val="center"/>
          </w:tcPr>
          <w:p w14:paraId="341ECE75">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国际标准名称（中文）</w:t>
            </w:r>
          </w:p>
        </w:tc>
        <w:tc>
          <w:tcPr>
            <w:tcW w:w="3464" w:type="dxa"/>
            <w:gridSpan w:val="4"/>
            <w:vAlign w:val="center"/>
          </w:tcPr>
          <w:p w14:paraId="1CE328D6">
            <w:pPr>
              <w:snapToGrid w:val="0"/>
              <w:spacing w:line="360" w:lineRule="auto"/>
              <w:rPr>
                <w:rFonts w:hint="eastAsia" w:ascii="宋体" w:hAnsi="宋体" w:eastAsia="宋体"/>
                <w:sz w:val="18"/>
                <w:szCs w:val="18"/>
              </w:rPr>
            </w:pPr>
          </w:p>
        </w:tc>
        <w:tc>
          <w:tcPr>
            <w:tcW w:w="1538" w:type="dxa"/>
            <w:gridSpan w:val="2"/>
            <w:vAlign w:val="center"/>
          </w:tcPr>
          <w:p w14:paraId="51A25469">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国际标准名称（英文）</w:t>
            </w:r>
          </w:p>
        </w:tc>
        <w:tc>
          <w:tcPr>
            <w:tcW w:w="2688" w:type="dxa"/>
            <w:gridSpan w:val="2"/>
            <w:vAlign w:val="center"/>
          </w:tcPr>
          <w:p w14:paraId="5B8D2299">
            <w:pPr>
              <w:snapToGrid w:val="0"/>
              <w:spacing w:line="360" w:lineRule="auto"/>
              <w:rPr>
                <w:rFonts w:hint="eastAsia" w:ascii="宋体" w:hAnsi="宋体" w:eastAsia="宋体"/>
                <w:sz w:val="18"/>
                <w:szCs w:val="18"/>
              </w:rPr>
            </w:pPr>
          </w:p>
        </w:tc>
      </w:tr>
      <w:tr w14:paraId="5BF5A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050" w:type="dxa"/>
            <w:vAlign w:val="center"/>
          </w:tcPr>
          <w:p w14:paraId="3C729129">
            <w:pPr>
              <w:snapToGrid w:val="0"/>
              <w:spacing w:line="360" w:lineRule="auto"/>
              <w:jc w:val="center"/>
              <w:rPr>
                <w:rFonts w:hint="eastAsia" w:ascii="宋体" w:hAnsi="宋体" w:eastAsia="宋体"/>
                <w:sz w:val="18"/>
                <w:szCs w:val="18"/>
              </w:rPr>
            </w:pPr>
            <w:bookmarkStart w:id="0" w:name="OLE_LINK5"/>
            <w:r>
              <w:rPr>
                <w:rFonts w:ascii="宋体" w:hAnsi="宋体" w:eastAsia="宋体"/>
                <w:sz w:val="18"/>
                <w:szCs w:val="18"/>
              </w:rPr>
              <w:t>ICS</w:t>
            </w:r>
            <w:r>
              <w:rPr>
                <w:rFonts w:hint="eastAsia" w:ascii="宋体" w:hAnsi="宋体" w:eastAsia="宋体"/>
                <w:sz w:val="18"/>
                <w:szCs w:val="18"/>
              </w:rPr>
              <w:t>分类号</w:t>
            </w:r>
            <w:bookmarkEnd w:id="0"/>
          </w:p>
        </w:tc>
        <w:tc>
          <w:tcPr>
            <w:tcW w:w="3464" w:type="dxa"/>
            <w:gridSpan w:val="4"/>
            <w:vAlign w:val="center"/>
          </w:tcPr>
          <w:p w14:paraId="1237A4D8">
            <w:pPr>
              <w:snapToGrid w:val="0"/>
              <w:spacing w:line="360" w:lineRule="auto"/>
              <w:rPr>
                <w:rFonts w:hint="default" w:ascii="宋体" w:hAnsi="宋体" w:eastAsia="宋体"/>
                <w:sz w:val="18"/>
                <w:szCs w:val="18"/>
                <w:lang w:val="en-US" w:eastAsia="zh-CN"/>
              </w:rPr>
            </w:pPr>
            <w:r>
              <w:rPr>
                <w:rFonts w:ascii="宋体" w:hAnsi="宋体" w:eastAsia="宋体"/>
                <w:sz w:val="18"/>
                <w:szCs w:val="18"/>
              </w:rPr>
              <w:t>91.100.</w:t>
            </w:r>
            <w:r>
              <w:rPr>
                <w:rFonts w:hint="eastAsia" w:ascii="宋体" w:hAnsi="宋体" w:eastAsia="宋体"/>
                <w:sz w:val="18"/>
                <w:szCs w:val="18"/>
                <w:lang w:val="en-US" w:eastAsia="zh-CN"/>
              </w:rPr>
              <w:t>10</w:t>
            </w:r>
          </w:p>
        </w:tc>
        <w:tc>
          <w:tcPr>
            <w:tcW w:w="1538" w:type="dxa"/>
            <w:gridSpan w:val="2"/>
            <w:vAlign w:val="center"/>
          </w:tcPr>
          <w:p w14:paraId="7BBBA8DD">
            <w:pPr>
              <w:snapToGrid w:val="0"/>
              <w:spacing w:line="360" w:lineRule="auto"/>
              <w:jc w:val="center"/>
              <w:rPr>
                <w:rFonts w:hint="eastAsia" w:ascii="宋体" w:hAnsi="宋体" w:eastAsia="宋体"/>
                <w:sz w:val="18"/>
                <w:szCs w:val="18"/>
              </w:rPr>
            </w:pPr>
            <w:r>
              <w:rPr>
                <w:rFonts w:hint="eastAsia" w:ascii="宋体" w:hAnsi="宋体" w:eastAsia="宋体"/>
                <w:sz w:val="18"/>
                <w:szCs w:val="18"/>
              </w:rPr>
              <w:t>中国标准分类号</w:t>
            </w:r>
          </w:p>
        </w:tc>
        <w:tc>
          <w:tcPr>
            <w:tcW w:w="2688" w:type="dxa"/>
            <w:gridSpan w:val="2"/>
            <w:vAlign w:val="center"/>
          </w:tcPr>
          <w:p w14:paraId="694A218A">
            <w:pPr>
              <w:snapToGrid w:val="0"/>
              <w:spacing w:line="360" w:lineRule="auto"/>
              <w:rPr>
                <w:rFonts w:hint="eastAsia" w:ascii="宋体" w:hAnsi="宋体" w:eastAsia="宋体"/>
                <w:sz w:val="18"/>
                <w:szCs w:val="18"/>
                <w:lang w:val="en-US" w:eastAsia="zh-CN"/>
              </w:rPr>
            </w:pPr>
            <w:r>
              <w:rPr>
                <w:rFonts w:ascii="宋体" w:hAnsi="宋体" w:eastAsia="宋体"/>
                <w:sz w:val="18"/>
                <w:szCs w:val="18"/>
              </w:rPr>
              <w:t>Q1</w:t>
            </w:r>
            <w:r>
              <w:rPr>
                <w:rFonts w:hint="eastAsia" w:ascii="宋体" w:hAnsi="宋体" w:eastAsia="宋体"/>
                <w:sz w:val="18"/>
                <w:szCs w:val="18"/>
                <w:lang w:val="en-US" w:eastAsia="zh-CN"/>
              </w:rPr>
              <w:t>1</w:t>
            </w:r>
          </w:p>
        </w:tc>
      </w:tr>
      <w:tr w14:paraId="499D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050" w:type="dxa"/>
            <w:vAlign w:val="center"/>
          </w:tcPr>
          <w:p w14:paraId="7995A11A">
            <w:pPr>
              <w:snapToGrid w:val="0"/>
              <w:spacing w:line="360" w:lineRule="auto"/>
              <w:jc w:val="center"/>
              <w:rPr>
                <w:rFonts w:hint="eastAsia" w:ascii="宋体" w:hAnsi="宋体" w:eastAsia="宋体"/>
                <w:sz w:val="18"/>
                <w:szCs w:val="18"/>
              </w:rPr>
            </w:pPr>
            <w:r>
              <w:rPr>
                <w:rFonts w:hint="eastAsia" w:ascii="宋体" w:hAnsi="宋体" w:eastAsia="宋体"/>
                <w:sz w:val="18"/>
                <w:szCs w:val="18"/>
              </w:rPr>
              <w:t>标准主要起草单位</w:t>
            </w:r>
          </w:p>
        </w:tc>
        <w:tc>
          <w:tcPr>
            <w:tcW w:w="3464" w:type="dxa"/>
            <w:gridSpan w:val="4"/>
            <w:vAlign w:val="center"/>
          </w:tcPr>
          <w:p w14:paraId="7C52608C">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北京</w:t>
            </w:r>
            <w:r>
              <w:rPr>
                <w:rFonts w:hint="eastAsia" w:ascii="宋体" w:hAnsi="宋体" w:eastAsia="宋体"/>
                <w:sz w:val="18"/>
                <w:szCs w:val="18"/>
              </w:rPr>
              <w:t>建筑材料科学研究总院有限公司</w:t>
            </w:r>
            <w:r>
              <w:rPr>
                <w:rFonts w:hint="eastAsia" w:ascii="宋体" w:hAnsi="宋体" w:eastAsia="宋体"/>
                <w:sz w:val="18"/>
                <w:szCs w:val="18"/>
                <w:lang w:val="en-US" w:eastAsia="zh-CN"/>
              </w:rPr>
              <w:t>等</w:t>
            </w:r>
          </w:p>
        </w:tc>
        <w:tc>
          <w:tcPr>
            <w:tcW w:w="1538" w:type="dxa"/>
            <w:gridSpan w:val="2"/>
            <w:vAlign w:val="center"/>
          </w:tcPr>
          <w:p w14:paraId="7F4ECFAB">
            <w:pPr>
              <w:snapToGrid w:val="0"/>
              <w:spacing w:line="360" w:lineRule="auto"/>
              <w:jc w:val="center"/>
              <w:rPr>
                <w:rFonts w:hint="eastAsia" w:ascii="宋体" w:hAnsi="宋体" w:eastAsia="宋体"/>
                <w:sz w:val="18"/>
                <w:szCs w:val="18"/>
              </w:rPr>
            </w:pPr>
            <w:r>
              <w:rPr>
                <w:rFonts w:hint="eastAsia" w:ascii="宋体" w:hAnsi="宋体" w:eastAsia="宋体"/>
                <w:sz w:val="18"/>
                <w:szCs w:val="18"/>
              </w:rPr>
              <w:t>计划起止时间</w:t>
            </w:r>
          </w:p>
        </w:tc>
        <w:tc>
          <w:tcPr>
            <w:tcW w:w="2688" w:type="dxa"/>
            <w:gridSpan w:val="2"/>
            <w:vAlign w:val="center"/>
          </w:tcPr>
          <w:p w14:paraId="0D81DA38">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rPr>
              <w:t>2026.</w:t>
            </w:r>
            <w:r>
              <w:rPr>
                <w:rFonts w:hint="eastAsia" w:ascii="宋体" w:hAnsi="宋体" w:eastAsia="宋体"/>
                <w:sz w:val="18"/>
                <w:szCs w:val="18"/>
                <w:lang w:val="en-US" w:eastAsia="zh-CN"/>
              </w:rPr>
              <w:t>7</w:t>
            </w:r>
            <w:r>
              <w:rPr>
                <w:rFonts w:hint="eastAsia" w:ascii="宋体" w:hAnsi="宋体" w:eastAsia="宋体"/>
                <w:sz w:val="18"/>
                <w:szCs w:val="18"/>
              </w:rPr>
              <w:t>-2027.</w:t>
            </w:r>
            <w:r>
              <w:rPr>
                <w:rFonts w:hint="eastAsia" w:ascii="宋体" w:hAnsi="宋体" w:eastAsia="宋体"/>
                <w:sz w:val="18"/>
                <w:szCs w:val="18"/>
                <w:lang w:val="en-US" w:eastAsia="zh-CN"/>
              </w:rPr>
              <w:t>7</w:t>
            </w:r>
          </w:p>
        </w:tc>
      </w:tr>
      <w:tr w14:paraId="6F04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5" w:hRule="atLeast"/>
          <w:jc w:val="center"/>
        </w:trPr>
        <w:tc>
          <w:tcPr>
            <w:tcW w:w="2050" w:type="dxa"/>
            <w:vAlign w:val="center"/>
          </w:tcPr>
          <w:p w14:paraId="3505ADDB">
            <w:pPr>
              <w:snapToGrid w:val="0"/>
              <w:spacing w:line="360" w:lineRule="auto"/>
              <w:jc w:val="center"/>
              <w:rPr>
                <w:rFonts w:hint="eastAsia"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35EB70C4">
            <w:pPr>
              <w:snapToGrid w:val="0"/>
              <w:spacing w:line="360" w:lineRule="auto"/>
              <w:jc w:val="center"/>
              <w:rPr>
                <w:rFonts w:hint="eastAsia" w:ascii="宋体" w:hAnsi="宋体" w:eastAsia="宋体"/>
                <w:sz w:val="18"/>
                <w:szCs w:val="18"/>
              </w:rPr>
            </w:pPr>
            <w:r>
              <w:rPr>
                <w:rFonts w:hint="eastAsia" w:ascii="宋体" w:hAnsi="宋体" w:eastAsia="宋体"/>
                <w:sz w:val="18"/>
                <w:szCs w:val="18"/>
              </w:rPr>
              <w:t>要性</w:t>
            </w:r>
          </w:p>
        </w:tc>
        <w:tc>
          <w:tcPr>
            <w:tcW w:w="7690" w:type="dxa"/>
            <w:gridSpan w:val="8"/>
            <w:vAlign w:val="center"/>
          </w:tcPr>
          <w:p w14:paraId="76886F9A">
            <w:p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3A91F693">
            <w:pPr>
              <w:snapToGrid w:val="0"/>
              <w:spacing w:line="360" w:lineRule="auto"/>
              <w:ind w:firstLine="360" w:firstLineChars="200"/>
              <w:rPr>
                <w:rFonts w:hint="eastAsia" w:ascii="宋体" w:hAnsi="宋体" w:eastAsia="宋体" w:cs="宋体"/>
                <w:sz w:val="18"/>
                <w:szCs w:val="18"/>
                <w:lang w:eastAsia="zh-CN"/>
              </w:rPr>
            </w:pPr>
            <w:r>
              <w:rPr>
                <w:rFonts w:hint="eastAsia" w:ascii="宋体" w:hAnsi="宋体" w:eastAsia="宋体" w:cs="宋体"/>
                <w:sz w:val="18"/>
                <w:szCs w:val="18"/>
              </w:rPr>
              <w:t>镁渣是金属镁厂在炼镁过程中排放的固体废弃物。生产金属镁的工艺大致如下：将白云石在回转窑中锻烧，然后经研磨成粉后与硅铁粉和萤石粉混合、制球，送入耐热钢还原罐内，在还原炉中以</w:t>
            </w:r>
            <w:r>
              <w:rPr>
                <w:rFonts w:hint="eastAsia" w:ascii="宋体" w:hAnsi="宋体" w:eastAsia="宋体" w:cs="宋体"/>
                <w:sz w:val="18"/>
                <w:szCs w:val="18"/>
                <w:lang w:val="en-US" w:eastAsia="zh-CN"/>
              </w:rPr>
              <w:t>1190-1210</w:t>
            </w:r>
            <w:r>
              <w:rPr>
                <w:rFonts w:hint="eastAsia" w:ascii="宋体" w:hAnsi="宋体" w:eastAsia="宋体" w:cs="宋体"/>
                <w:sz w:val="18"/>
                <w:szCs w:val="18"/>
              </w:rPr>
              <w:t>℃的温度及</w:t>
            </w:r>
            <w:r>
              <w:rPr>
                <w:rFonts w:hint="eastAsia" w:ascii="宋体" w:hAnsi="宋体" w:eastAsia="宋体" w:cs="宋体"/>
                <w:sz w:val="18"/>
                <w:szCs w:val="18"/>
                <w:lang w:val="en-US" w:eastAsia="zh-CN"/>
              </w:rPr>
              <w:t>大约</w:t>
            </w:r>
            <w:r>
              <w:rPr>
                <w:rFonts w:hint="eastAsia" w:ascii="宋体" w:hAnsi="宋体" w:eastAsia="宋体" w:cs="宋体"/>
                <w:sz w:val="18"/>
                <w:szCs w:val="18"/>
              </w:rPr>
              <w:t>10 Pa真空条件下还原制取粗镁，再经过熔剂精炼、铸锭、表面处理，即得到金属镁锭，剩余的残渣即为镁渣</w:t>
            </w:r>
            <w:r>
              <w:rPr>
                <w:rFonts w:hint="eastAsia" w:ascii="宋体" w:hAnsi="宋体" w:eastAsia="宋体" w:cs="宋体"/>
                <w:sz w:val="18"/>
                <w:szCs w:val="18"/>
                <w:lang w:eastAsia="zh-CN"/>
              </w:rPr>
              <w:t>。</w:t>
            </w:r>
          </w:p>
          <w:p w14:paraId="21BF63B2">
            <w:pPr>
              <w:snapToGrid w:val="0"/>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镁渣的主要成分是CaO</w:t>
            </w:r>
            <w:r>
              <w:rPr>
                <w:rFonts w:hint="eastAsia" w:ascii="宋体" w:hAnsi="宋体" w:eastAsia="宋体" w:cs="宋体"/>
                <w:sz w:val="18"/>
                <w:szCs w:val="18"/>
                <w:lang w:eastAsia="zh-CN"/>
              </w:rPr>
              <w:t>、</w:t>
            </w:r>
            <w:r>
              <w:rPr>
                <w:rFonts w:hint="eastAsia" w:ascii="宋体" w:hAnsi="宋体" w:eastAsia="宋体" w:cs="宋体"/>
                <w:sz w:val="18"/>
                <w:szCs w:val="18"/>
              </w:rPr>
              <w:t>SiO</w:t>
            </w:r>
            <w:r>
              <w:rPr>
                <w:rFonts w:hint="eastAsia" w:ascii="宋体" w:hAnsi="宋体" w:eastAsia="宋体" w:cs="宋体"/>
                <w:sz w:val="18"/>
                <w:szCs w:val="18"/>
                <w:vertAlign w:val="subscript"/>
              </w:rPr>
              <w:t>2</w:t>
            </w:r>
            <w:r>
              <w:rPr>
                <w:rFonts w:hint="eastAsia" w:ascii="宋体" w:hAnsi="宋体" w:eastAsia="宋体" w:cs="宋体"/>
                <w:sz w:val="18"/>
                <w:szCs w:val="18"/>
              </w:rPr>
              <w:t>，此外还有未还原的MgO和少量铁、铝氧化物等。由于各镁厂生产条件及工艺差别，镁渣的成分并不是固定的，而是有一个波动范围。镁渣成分波动的范围：Ca</w:t>
            </w:r>
            <w:r>
              <w:rPr>
                <w:rFonts w:hint="eastAsia" w:ascii="宋体" w:hAnsi="宋体" w:eastAsia="宋体" w:cs="宋体"/>
                <w:sz w:val="18"/>
                <w:szCs w:val="18"/>
                <w:lang w:val="en-US" w:eastAsia="zh-CN"/>
              </w:rPr>
              <w:t>O</w:t>
            </w:r>
            <w:r>
              <w:rPr>
                <w:rFonts w:hint="eastAsia" w:ascii="宋体" w:hAnsi="宋体" w:eastAsia="宋体" w:cs="宋体"/>
                <w:sz w:val="18"/>
                <w:szCs w:val="18"/>
              </w:rPr>
              <w:t>为40%</w:t>
            </w:r>
            <w:r>
              <w:rPr>
                <w:rFonts w:hint="eastAsia" w:ascii="宋体" w:hAnsi="宋体" w:eastAsia="宋体" w:cs="宋体"/>
                <w:sz w:val="18"/>
                <w:szCs w:val="18"/>
                <w:lang w:val="en-US" w:eastAsia="zh-CN"/>
              </w:rPr>
              <w:t>-</w:t>
            </w:r>
            <w:r>
              <w:rPr>
                <w:rFonts w:hint="eastAsia" w:ascii="宋体" w:hAnsi="宋体" w:eastAsia="宋体" w:cs="宋体"/>
                <w:sz w:val="18"/>
                <w:szCs w:val="18"/>
              </w:rPr>
              <w:t>50%；SiO</w:t>
            </w:r>
            <w:r>
              <w:rPr>
                <w:rFonts w:hint="eastAsia" w:ascii="宋体" w:hAnsi="宋体" w:eastAsia="宋体" w:cs="宋体"/>
                <w:sz w:val="18"/>
                <w:szCs w:val="18"/>
                <w:vertAlign w:val="subscript"/>
              </w:rPr>
              <w:t>2</w:t>
            </w:r>
            <w:r>
              <w:rPr>
                <w:rFonts w:hint="eastAsia" w:ascii="宋体" w:hAnsi="宋体" w:eastAsia="宋体" w:cs="宋体"/>
                <w:sz w:val="18"/>
                <w:szCs w:val="18"/>
              </w:rPr>
              <w:t>为20%</w:t>
            </w:r>
            <w:r>
              <w:rPr>
                <w:rFonts w:hint="eastAsia" w:ascii="宋体" w:hAnsi="宋体" w:eastAsia="宋体" w:cs="宋体"/>
                <w:sz w:val="18"/>
                <w:szCs w:val="18"/>
                <w:lang w:val="en-US" w:eastAsia="zh-CN"/>
              </w:rPr>
              <w:t>-</w:t>
            </w:r>
            <w:r>
              <w:rPr>
                <w:rFonts w:hint="eastAsia" w:ascii="宋体" w:hAnsi="宋体" w:eastAsia="宋体" w:cs="宋体"/>
                <w:sz w:val="18"/>
                <w:szCs w:val="18"/>
              </w:rPr>
              <w:t>30%；Mg</w:t>
            </w:r>
            <w:r>
              <w:rPr>
                <w:rFonts w:hint="eastAsia" w:ascii="宋体" w:hAnsi="宋体" w:eastAsia="宋体" w:cs="宋体"/>
                <w:sz w:val="18"/>
                <w:szCs w:val="18"/>
                <w:lang w:val="en-US" w:eastAsia="zh-CN"/>
              </w:rPr>
              <w:t>O</w:t>
            </w:r>
            <w:r>
              <w:rPr>
                <w:rFonts w:hint="eastAsia" w:ascii="宋体" w:hAnsi="宋体" w:eastAsia="宋体" w:cs="宋体"/>
                <w:sz w:val="18"/>
                <w:szCs w:val="18"/>
              </w:rPr>
              <w:t>为6%</w:t>
            </w:r>
            <w:r>
              <w:rPr>
                <w:rFonts w:hint="eastAsia" w:ascii="宋体" w:hAnsi="宋体" w:eastAsia="宋体" w:cs="宋体"/>
                <w:sz w:val="18"/>
                <w:szCs w:val="18"/>
                <w:lang w:val="en-US" w:eastAsia="zh-CN"/>
              </w:rPr>
              <w:t>-</w:t>
            </w:r>
            <w:r>
              <w:rPr>
                <w:rFonts w:hint="eastAsia" w:ascii="宋体" w:hAnsi="宋体" w:eastAsia="宋体" w:cs="宋体"/>
                <w:sz w:val="18"/>
                <w:szCs w:val="18"/>
              </w:rPr>
              <w:t>10%</w:t>
            </w:r>
            <w:r>
              <w:rPr>
                <w:rFonts w:hint="eastAsia" w:ascii="宋体" w:hAnsi="宋体" w:eastAsia="宋体" w:cs="宋体"/>
                <w:sz w:val="18"/>
                <w:szCs w:val="18"/>
                <w:lang w:eastAsia="zh-CN"/>
              </w:rPr>
              <w:t>；</w:t>
            </w:r>
            <w:r>
              <w:rPr>
                <w:rFonts w:hint="eastAsia" w:ascii="宋体" w:hAnsi="宋体" w:eastAsia="宋体" w:cs="宋体"/>
                <w:sz w:val="18"/>
                <w:szCs w:val="18"/>
              </w:rPr>
              <w:t>Fe</w:t>
            </w:r>
            <w:r>
              <w:rPr>
                <w:rFonts w:hint="eastAsia" w:ascii="宋体" w:hAnsi="宋体" w:eastAsia="宋体" w:cs="宋体"/>
                <w:sz w:val="18"/>
                <w:szCs w:val="18"/>
                <w:vertAlign w:val="subscript"/>
              </w:rPr>
              <w:t>2</w:t>
            </w:r>
            <w:r>
              <w:rPr>
                <w:rFonts w:hint="eastAsia" w:ascii="宋体" w:hAnsi="宋体" w:eastAsia="宋体" w:cs="宋体"/>
                <w:sz w:val="18"/>
                <w:szCs w:val="18"/>
              </w:rPr>
              <w:t>O</w:t>
            </w:r>
            <w:r>
              <w:rPr>
                <w:rFonts w:hint="eastAsia" w:ascii="宋体" w:hAnsi="宋体" w:eastAsia="宋体" w:cs="宋体"/>
                <w:sz w:val="18"/>
                <w:szCs w:val="18"/>
                <w:vertAlign w:val="subscript"/>
              </w:rPr>
              <w:t>3</w:t>
            </w:r>
            <w:r>
              <w:rPr>
                <w:rFonts w:hint="eastAsia" w:ascii="宋体" w:hAnsi="宋体" w:eastAsia="宋体" w:cs="宋体"/>
                <w:sz w:val="18"/>
                <w:szCs w:val="18"/>
              </w:rPr>
              <w:t>约9%；A1</w:t>
            </w:r>
            <w:r>
              <w:rPr>
                <w:rFonts w:hint="eastAsia" w:ascii="宋体" w:hAnsi="宋体" w:eastAsia="宋体" w:cs="宋体"/>
                <w:sz w:val="18"/>
                <w:szCs w:val="18"/>
                <w:vertAlign w:val="subscript"/>
              </w:rPr>
              <w:t>2</w:t>
            </w:r>
            <w:r>
              <w:rPr>
                <w:rFonts w:hint="eastAsia" w:ascii="宋体" w:hAnsi="宋体" w:eastAsia="宋体" w:cs="宋体"/>
                <w:sz w:val="18"/>
                <w:szCs w:val="18"/>
              </w:rPr>
              <w:t>O</w:t>
            </w:r>
            <w:r>
              <w:rPr>
                <w:rFonts w:hint="eastAsia" w:ascii="宋体" w:hAnsi="宋体" w:eastAsia="宋体" w:cs="宋体"/>
                <w:sz w:val="18"/>
                <w:szCs w:val="18"/>
                <w:vertAlign w:val="subscript"/>
              </w:rPr>
              <w:t>3</w:t>
            </w:r>
            <w:r>
              <w:rPr>
                <w:rFonts w:hint="eastAsia" w:ascii="宋体" w:hAnsi="宋体" w:eastAsia="宋体" w:cs="宋体"/>
                <w:sz w:val="18"/>
                <w:szCs w:val="18"/>
              </w:rPr>
              <w:t>为2%</w:t>
            </w:r>
            <w:r>
              <w:rPr>
                <w:rFonts w:hint="eastAsia" w:ascii="宋体" w:hAnsi="宋体" w:eastAsia="宋体" w:cs="宋体"/>
                <w:sz w:val="18"/>
                <w:szCs w:val="18"/>
                <w:lang w:val="en-US" w:eastAsia="zh-CN"/>
              </w:rPr>
              <w:t>-</w:t>
            </w:r>
            <w:r>
              <w:rPr>
                <w:rFonts w:hint="eastAsia" w:ascii="宋体" w:hAnsi="宋体" w:eastAsia="宋体" w:cs="宋体"/>
                <w:sz w:val="18"/>
                <w:szCs w:val="18"/>
              </w:rPr>
              <w:t>5%。</w:t>
            </w:r>
          </w:p>
          <w:p w14:paraId="154E2CAB">
            <w:pPr>
              <w:snapToGrid w:val="0"/>
              <w:spacing w:line="360" w:lineRule="auto"/>
              <w:ind w:firstLine="360" w:firstLineChars="200"/>
              <w:rPr>
                <w:rFonts w:hint="eastAsia" w:ascii="宋体" w:hAnsi="宋体" w:eastAsia="宋体" w:cs="宋体"/>
                <w:sz w:val="18"/>
                <w:szCs w:val="18"/>
                <w:lang w:val="en-US" w:eastAsia="zh-CN"/>
              </w:rPr>
            </w:pPr>
            <w:r>
              <w:rPr>
                <w:rFonts w:hint="eastAsia" w:ascii="宋体" w:hAnsi="宋体" w:eastAsia="宋体" w:cs="宋体"/>
                <w:i w:val="0"/>
                <w:iCs w:val="0"/>
                <w:caps w:val="0"/>
                <w:color w:val="0F1115"/>
                <w:spacing w:val="0"/>
                <w:sz w:val="18"/>
                <w:szCs w:val="18"/>
                <w:shd w:val="clear" w:fill="FFFFFF"/>
              </w:rPr>
              <w:t>随着全球对轻量化材料需求的增长，金属镁在新能源汽车、航空航天等领域的应用不断扩展，镁及镁合金产量持续攀升，镁渣的产生量也逐年增加</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lang w:val="en-US" w:eastAsia="zh-CN"/>
              </w:rPr>
              <w:t>中国是世界上最大的金属镁生产国，2025年我国金属镁产量超过100万吨，</w:t>
            </w:r>
            <w:r>
              <w:rPr>
                <w:rFonts w:hint="eastAsia" w:ascii="宋体" w:hAnsi="宋体" w:eastAsia="宋体" w:cs="宋体"/>
                <w:sz w:val="18"/>
                <w:szCs w:val="18"/>
              </w:rPr>
              <w:t>每吨金属镁副产6.5-10吨镁渣，</w:t>
            </w:r>
            <w:r>
              <w:rPr>
                <w:rFonts w:hint="eastAsia" w:ascii="宋体" w:hAnsi="宋体" w:eastAsia="宋体" w:cs="宋体"/>
                <w:sz w:val="18"/>
                <w:szCs w:val="18"/>
                <w:lang w:val="en-US" w:eastAsia="zh-CN"/>
              </w:rPr>
              <w:t>粗略估计，</w:t>
            </w:r>
            <w:r>
              <w:rPr>
                <w:rFonts w:hint="eastAsia" w:ascii="宋体" w:hAnsi="宋体" w:eastAsia="宋体" w:cs="宋体"/>
                <w:sz w:val="18"/>
                <w:szCs w:val="18"/>
              </w:rPr>
              <w:t>全国镁渣年产生量约800万吨</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该数据见《中国有色冶金》第55卷第1期《镁渣在无机材料制备中资源化利用研究现状及进展》</w:t>
            </w:r>
            <w:r>
              <w:rPr>
                <w:rFonts w:hint="eastAsia" w:ascii="宋体" w:hAnsi="宋体" w:eastAsia="宋体" w:cs="宋体"/>
                <w:sz w:val="18"/>
                <w:szCs w:val="18"/>
                <w:lang w:eastAsia="zh-CN"/>
              </w:rPr>
              <w:t>）</w:t>
            </w:r>
            <w:r>
              <w:rPr>
                <w:rFonts w:hint="eastAsia" w:ascii="宋体" w:hAnsi="宋体" w:eastAsia="宋体" w:cs="宋体"/>
                <w:sz w:val="18"/>
                <w:szCs w:val="18"/>
              </w:rPr>
              <w:t>。</w:t>
            </w:r>
            <w:r>
              <w:rPr>
                <w:rFonts w:hint="eastAsia" w:ascii="宋体" w:hAnsi="宋体" w:eastAsia="宋体" w:cs="宋体"/>
                <w:sz w:val="18"/>
                <w:szCs w:val="18"/>
                <w:lang w:val="en-US" w:eastAsia="zh-CN"/>
              </w:rPr>
              <w:t>受处理成本和技术等因</w:t>
            </w:r>
            <w:r>
              <w:rPr>
                <w:rFonts w:hint="default" w:ascii="宋体" w:hAnsi="宋体" w:eastAsia="宋体" w:cs="宋体"/>
                <w:sz w:val="18"/>
                <w:szCs w:val="18"/>
                <w:lang w:val="en-US" w:eastAsia="zh-CN"/>
              </w:rPr>
              <w:t>素限制，多数镁渣被无序堆存或填埋，致使土壤结构破坏</w:t>
            </w:r>
            <w:r>
              <w:rPr>
                <w:rFonts w:hint="eastAsia" w:ascii="宋体" w:hAnsi="宋体" w:eastAsia="宋体" w:cs="宋体"/>
                <w:sz w:val="18"/>
                <w:szCs w:val="18"/>
                <w:lang w:val="en-US" w:eastAsia="zh-CN"/>
              </w:rPr>
              <w:t>、</w:t>
            </w:r>
            <w:bookmarkStart w:id="1" w:name="_GoBack"/>
            <w:bookmarkEnd w:id="1"/>
            <w:r>
              <w:rPr>
                <w:rFonts w:hint="default" w:ascii="宋体" w:hAnsi="宋体" w:eastAsia="宋体" w:cs="宋体"/>
                <w:sz w:val="18"/>
                <w:szCs w:val="18"/>
                <w:lang w:val="en-US" w:eastAsia="zh-CN"/>
              </w:rPr>
              <w:t>重金属浸出污染等问题，对生态系统和人类健康造成潜在威胁</w:t>
            </w:r>
            <w:r>
              <w:rPr>
                <w:rFonts w:hint="eastAsia" w:ascii="宋体" w:hAnsi="宋体" w:eastAsia="宋体" w:cs="宋体"/>
                <w:sz w:val="18"/>
                <w:szCs w:val="18"/>
                <w:lang w:val="en-US" w:eastAsia="zh-CN"/>
              </w:rPr>
              <w:t>。</w:t>
            </w:r>
          </w:p>
          <w:p w14:paraId="681F6A62">
            <w:pPr>
              <w:snapToGrid w:val="0"/>
              <w:spacing w:line="360" w:lineRule="auto"/>
              <w:ind w:firstLine="360" w:firstLineChars="200"/>
              <w:rPr>
                <w:rFonts w:hint="eastAsia" w:ascii="宋体" w:hAnsi="宋体" w:eastAsia="宋体" w:cs="宋体"/>
                <w:sz w:val="18"/>
                <w:szCs w:val="18"/>
                <w:lang w:val="en-US" w:eastAsia="zh-CN"/>
              </w:rPr>
            </w:pPr>
            <w:r>
              <w:rPr>
                <w:rFonts w:hint="eastAsia" w:ascii="宋体" w:hAnsi="宋体" w:eastAsia="宋体" w:cs="宋体"/>
                <w:i w:val="0"/>
                <w:iCs w:val="0"/>
                <w:caps w:val="0"/>
                <w:color w:val="0F1115"/>
                <w:spacing w:val="0"/>
                <w:sz w:val="18"/>
                <w:szCs w:val="18"/>
                <w:shd w:val="clear" w:fill="FFFFFF"/>
              </w:rPr>
              <w:t>水泥工业是CO</w:t>
            </w:r>
            <w:r>
              <w:rPr>
                <w:rFonts w:hint="eastAsia" w:ascii="宋体" w:hAnsi="宋体" w:eastAsia="宋体" w:cs="宋体"/>
                <w:i w:val="0"/>
                <w:iCs w:val="0"/>
                <w:caps w:val="0"/>
                <w:color w:val="0F1115"/>
                <w:spacing w:val="0"/>
                <w:sz w:val="18"/>
                <w:szCs w:val="18"/>
                <w:shd w:val="clear" w:fill="FFFFFF"/>
                <w:vertAlign w:val="subscript"/>
                <w:lang w:val="en-US" w:eastAsia="zh-CN"/>
              </w:rPr>
              <w:t>2</w:t>
            </w:r>
            <w:r>
              <w:rPr>
                <w:rFonts w:hint="eastAsia" w:ascii="宋体" w:hAnsi="宋体" w:eastAsia="宋体" w:cs="宋体"/>
                <w:i w:val="0"/>
                <w:iCs w:val="0"/>
                <w:caps w:val="0"/>
                <w:color w:val="0F1115"/>
                <w:spacing w:val="0"/>
                <w:sz w:val="18"/>
                <w:szCs w:val="18"/>
                <w:shd w:val="clear" w:fill="FFFFFF"/>
              </w:rPr>
              <w:t>排放重点行业，约60%碳排放来自石灰石分解。若能用含钙工业废渣部分替代石灰石，既能消纳</w:t>
            </w:r>
            <w:r>
              <w:rPr>
                <w:rFonts w:hint="eastAsia" w:ascii="宋体" w:hAnsi="宋体" w:eastAsia="宋体" w:cs="宋体"/>
                <w:i w:val="0"/>
                <w:iCs w:val="0"/>
                <w:caps w:val="0"/>
                <w:color w:val="0F1115"/>
                <w:spacing w:val="0"/>
                <w:sz w:val="18"/>
                <w:szCs w:val="18"/>
                <w:shd w:val="clear" w:fill="FFFFFF"/>
                <w:lang w:val="en-US" w:eastAsia="zh-CN"/>
              </w:rPr>
              <w:t>固体废弃物</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lang w:val="en-US" w:eastAsia="zh-CN"/>
              </w:rPr>
              <w:t>减少环境污染，</w:t>
            </w:r>
            <w:r>
              <w:rPr>
                <w:rFonts w:hint="eastAsia" w:ascii="宋体" w:hAnsi="宋体" w:eastAsia="宋体" w:cs="宋体"/>
                <w:i w:val="0"/>
                <w:iCs w:val="0"/>
                <w:caps w:val="0"/>
                <w:color w:val="0F1115"/>
                <w:spacing w:val="0"/>
                <w:sz w:val="18"/>
                <w:szCs w:val="18"/>
                <w:shd w:val="clear" w:fill="FFFFFF"/>
              </w:rPr>
              <w:t>又可从源头削减碳排放。</w:t>
            </w:r>
            <w:r>
              <w:rPr>
                <w:rFonts w:hint="eastAsia" w:ascii="宋体" w:hAnsi="宋体" w:eastAsia="宋体" w:cs="宋体"/>
                <w:sz w:val="18"/>
                <w:szCs w:val="18"/>
                <w:lang w:val="en-US" w:eastAsia="zh-CN"/>
              </w:rPr>
              <w:t>镁渣可以替代部分天然石灰石原料生产水泥熟料，《水泥工程》2020年</w:t>
            </w:r>
            <w:r>
              <w:rPr>
                <w:rFonts w:hint="eastAsia" w:ascii="宋体" w:hAnsi="宋体" w:eastAsia="宋体" w:cs="宋体"/>
                <w:i w:val="0"/>
                <w:iCs w:val="0"/>
                <w:caps w:val="0"/>
                <w:color w:val="0F1115"/>
                <w:spacing w:val="0"/>
                <w:sz w:val="18"/>
                <w:szCs w:val="18"/>
                <w:shd w:val="clear" w:fill="FFFFFF"/>
                <w:lang w:val="en-US" w:eastAsia="zh-CN"/>
              </w:rPr>
              <w:t>第5期《镁渣大比例替代石灰石生产熟料的生产实践</w:t>
            </w:r>
            <w:r>
              <w:rPr>
                <w:rFonts w:hint="eastAsia" w:ascii="宋体" w:hAnsi="宋体" w:eastAsia="宋体" w:cs="宋体"/>
                <w:sz w:val="18"/>
                <w:szCs w:val="18"/>
                <w:lang w:val="en-US" w:eastAsia="zh-CN"/>
              </w:rPr>
              <w:t>》文中：利用改造后的大温差预热预分解工艺系统对生料中不同镁渣配比进行了应用研究，结果表明，镁渣替代石灰石比例可以大幅提高，配比稳定在18</w:t>
            </w:r>
            <w:r>
              <w:rPr>
                <w:rFonts w:hint="eastAsia" w:ascii="宋体" w:hAnsi="宋体" w:eastAsia="宋体" w:cs="宋体"/>
                <w:sz w:val="18"/>
                <w:szCs w:val="18"/>
              </w:rPr>
              <w:t>%</w:t>
            </w:r>
            <w:r>
              <w:rPr>
                <w:rFonts w:hint="eastAsia" w:ascii="宋体" w:hAnsi="宋体" w:eastAsia="宋体" w:cs="宋体"/>
                <w:sz w:val="18"/>
                <w:szCs w:val="18"/>
                <w:lang w:val="en-US" w:eastAsia="zh-CN"/>
              </w:rPr>
              <w:t>以上，最高达到了22</w:t>
            </w:r>
            <w:r>
              <w:rPr>
                <w:rFonts w:hint="eastAsia" w:ascii="宋体" w:hAnsi="宋体" w:eastAsia="宋体" w:cs="宋体"/>
                <w:sz w:val="18"/>
                <w:szCs w:val="18"/>
              </w:rPr>
              <w:t>%</w:t>
            </w:r>
            <w:r>
              <w:rPr>
                <w:rFonts w:hint="eastAsia" w:ascii="宋体" w:hAnsi="宋体" w:eastAsia="宋体" w:cs="宋体"/>
                <w:sz w:val="18"/>
                <w:szCs w:val="18"/>
                <w:lang w:val="en-US" w:eastAsia="zh-CN"/>
              </w:rPr>
              <w:t>，同时，熟料产量、质量大幅度提高，烧成煤耗大幅度下降，呈现出增产、提质、节能、降耗的价值，更为重要的是，大幅减少了水泥熟料生产中</w:t>
            </w:r>
            <w:r>
              <w:rPr>
                <w:rFonts w:hint="eastAsia" w:ascii="宋体" w:hAnsi="宋体" w:eastAsia="宋体" w:cs="宋体"/>
                <w:i w:val="0"/>
                <w:iCs w:val="0"/>
                <w:caps w:val="0"/>
                <w:color w:val="0F1115"/>
                <w:spacing w:val="0"/>
                <w:sz w:val="18"/>
                <w:szCs w:val="18"/>
                <w:shd w:val="clear" w:fill="FFFFFF"/>
              </w:rPr>
              <w:t>CO</w:t>
            </w:r>
            <w:r>
              <w:rPr>
                <w:rFonts w:hint="eastAsia" w:ascii="宋体" w:hAnsi="宋体" w:eastAsia="宋体" w:cs="宋体"/>
                <w:i w:val="0"/>
                <w:iCs w:val="0"/>
                <w:caps w:val="0"/>
                <w:color w:val="0F1115"/>
                <w:spacing w:val="0"/>
                <w:sz w:val="18"/>
                <w:szCs w:val="18"/>
                <w:shd w:val="clear" w:fill="FFFFFF"/>
                <w:vertAlign w:val="subscript"/>
                <w:lang w:val="en-US" w:eastAsia="zh-CN"/>
              </w:rPr>
              <w:t>2</w:t>
            </w:r>
            <w:r>
              <w:rPr>
                <w:rFonts w:hint="eastAsia" w:ascii="宋体" w:hAnsi="宋体" w:eastAsia="宋体" w:cs="宋体"/>
                <w:i w:val="0"/>
                <w:iCs w:val="0"/>
                <w:caps w:val="0"/>
                <w:color w:val="0F1115"/>
                <w:spacing w:val="0"/>
                <w:sz w:val="18"/>
                <w:szCs w:val="18"/>
                <w:shd w:val="clear" w:fill="FFFFFF"/>
                <w:lang w:val="en-US" w:eastAsia="zh-CN"/>
              </w:rPr>
              <w:t>的</w:t>
            </w:r>
            <w:r>
              <w:rPr>
                <w:rFonts w:hint="eastAsia" w:ascii="宋体" w:hAnsi="宋体" w:eastAsia="宋体" w:cs="宋体"/>
                <w:i w:val="0"/>
                <w:iCs w:val="0"/>
                <w:caps w:val="0"/>
                <w:color w:val="0F1115"/>
                <w:spacing w:val="0"/>
                <w:sz w:val="18"/>
                <w:szCs w:val="18"/>
                <w:shd w:val="clear" w:fill="FFFFFF"/>
              </w:rPr>
              <w:t>排放</w:t>
            </w:r>
            <w:r>
              <w:rPr>
                <w:rFonts w:hint="eastAsia" w:ascii="宋体" w:hAnsi="宋体" w:eastAsia="宋体" w:cs="宋体"/>
                <w:i w:val="0"/>
                <w:iCs w:val="0"/>
                <w:caps w:val="0"/>
                <w:color w:val="0F1115"/>
                <w:spacing w:val="0"/>
                <w:sz w:val="18"/>
                <w:szCs w:val="18"/>
                <w:shd w:val="clear" w:fill="FFFFFF"/>
                <w:lang w:eastAsia="zh-CN"/>
              </w:rPr>
              <w:t>。</w:t>
            </w:r>
          </w:p>
          <w:p w14:paraId="13CFC015">
            <w:pPr>
              <w:snapToGrid w:val="0"/>
              <w:spacing w:line="360" w:lineRule="auto"/>
              <w:ind w:firstLine="360" w:firstLineChars="200"/>
              <w:rPr>
                <w:rFonts w:hint="eastAsia" w:ascii="宋体" w:hAnsi="宋体" w:eastAsia="宋体" w:cs="宋体"/>
                <w:i w:val="0"/>
                <w:iCs w:val="0"/>
                <w:caps w:val="0"/>
                <w:color w:val="0F1115"/>
                <w:spacing w:val="0"/>
                <w:sz w:val="18"/>
                <w:szCs w:val="18"/>
                <w:shd w:val="clear" w:fill="FFFFFF"/>
                <w:lang w:val="en-US" w:eastAsia="zh-CN"/>
              </w:rPr>
            </w:pPr>
            <w:r>
              <w:rPr>
                <w:rFonts w:hint="eastAsia" w:ascii="宋体" w:hAnsi="宋体" w:eastAsia="宋体" w:cs="宋体"/>
                <w:i w:val="0"/>
                <w:iCs w:val="0"/>
                <w:caps w:val="0"/>
                <w:color w:val="0F1115"/>
                <w:spacing w:val="0"/>
                <w:sz w:val="18"/>
                <w:szCs w:val="18"/>
                <w:shd w:val="clear" w:fill="FFFFFF"/>
                <w:lang w:val="en-US" w:eastAsia="zh-CN"/>
              </w:rPr>
              <w:t>2024年</w:t>
            </w:r>
            <w:r>
              <w:rPr>
                <w:rFonts w:hint="eastAsia" w:ascii="宋体" w:hAnsi="宋体" w:eastAsia="宋体" w:cs="宋体"/>
                <w:i w:val="0"/>
                <w:iCs w:val="0"/>
                <w:caps w:val="0"/>
                <w:color w:val="0F1115"/>
                <w:spacing w:val="0"/>
                <w:sz w:val="18"/>
                <w:szCs w:val="18"/>
                <w:shd w:val="clear" w:fill="FFFFFF"/>
              </w:rPr>
              <w:t>，生态环境部制定并发布</w:t>
            </w:r>
            <w:r>
              <w:rPr>
                <w:rFonts w:hint="eastAsia" w:ascii="宋体" w:hAnsi="宋体" w:eastAsia="宋体" w:cs="宋体"/>
                <w:i w:val="0"/>
                <w:iCs w:val="0"/>
                <w:caps w:val="0"/>
                <w:color w:val="0F1115"/>
                <w:spacing w:val="0"/>
                <w:sz w:val="18"/>
                <w:szCs w:val="18"/>
                <w:shd w:val="clear" w:fill="FFFFFF"/>
                <w:lang w:val="en-US" w:eastAsia="zh-CN"/>
              </w:rPr>
              <w:t>四项</w:t>
            </w:r>
            <w:r>
              <w:rPr>
                <w:rFonts w:hint="eastAsia" w:ascii="宋体" w:hAnsi="宋体" w:eastAsia="宋体" w:cs="宋体"/>
                <w:i w:val="0"/>
                <w:iCs w:val="0"/>
                <w:caps w:val="0"/>
                <w:color w:val="0F1115"/>
                <w:spacing w:val="0"/>
                <w:sz w:val="18"/>
                <w:szCs w:val="18"/>
                <w:shd w:val="clear" w:fill="FFFFFF"/>
              </w:rPr>
              <w:t>全国碳排放权交易市场技术规范</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lang w:val="en-US" w:eastAsia="zh-CN"/>
              </w:rPr>
              <w:t>其中</w:t>
            </w:r>
            <w:r>
              <w:rPr>
                <w:rFonts w:hint="eastAsia" w:ascii="宋体" w:hAnsi="宋体" w:eastAsia="宋体" w:cs="宋体"/>
                <w:i w:val="0"/>
                <w:iCs w:val="0"/>
                <w:caps w:val="0"/>
                <w:color w:val="0F1115"/>
                <w:spacing w:val="0"/>
                <w:sz w:val="18"/>
                <w:szCs w:val="18"/>
                <w:shd w:val="clear" w:fill="FFFFFF"/>
              </w:rPr>
              <w:t>《企业温室气体排放核算与报告指南</w:t>
            </w:r>
            <w:r>
              <w:rPr>
                <w:rFonts w:hint="eastAsia" w:ascii="宋体" w:hAnsi="宋体" w:eastAsia="宋体" w:cs="宋体"/>
                <w:i w:val="0"/>
                <w:iCs w:val="0"/>
                <w:caps w:val="0"/>
                <w:color w:val="0F1115"/>
                <w:spacing w:val="0"/>
                <w:sz w:val="18"/>
                <w:szCs w:val="18"/>
                <w:shd w:val="clear" w:fill="FFFFFF"/>
                <w:lang w:val="en-US" w:eastAsia="zh-CN"/>
              </w:rPr>
              <w:t xml:space="preserve"> </w:t>
            </w:r>
            <w:r>
              <w:rPr>
                <w:rFonts w:hint="eastAsia" w:ascii="宋体" w:hAnsi="宋体" w:eastAsia="宋体" w:cs="宋体"/>
                <w:i w:val="0"/>
                <w:iCs w:val="0"/>
                <w:caps w:val="0"/>
                <w:color w:val="0F1115"/>
                <w:spacing w:val="0"/>
                <w:sz w:val="18"/>
                <w:szCs w:val="18"/>
                <w:shd w:val="clear" w:fill="FFFFFF"/>
              </w:rPr>
              <w:t>水泥行业（CETS—AG—02.01—V01—2024）》界定</w:t>
            </w:r>
            <w:r>
              <w:rPr>
                <w:rFonts w:hint="eastAsia" w:ascii="宋体" w:hAnsi="宋体" w:eastAsia="宋体" w:cs="宋体"/>
                <w:i w:val="0"/>
                <w:iCs w:val="0"/>
                <w:caps w:val="0"/>
                <w:color w:val="0F1115"/>
                <w:spacing w:val="0"/>
                <w:sz w:val="18"/>
                <w:szCs w:val="18"/>
                <w:shd w:val="clear" w:fill="FFFFFF"/>
                <w:lang w:val="en-US" w:eastAsia="zh-CN"/>
              </w:rPr>
              <w:t>了</w:t>
            </w:r>
            <w:r>
              <w:rPr>
                <w:rFonts w:hint="eastAsia" w:ascii="宋体" w:hAnsi="宋体" w:eastAsia="宋体" w:cs="宋体"/>
                <w:i w:val="0"/>
                <w:iCs w:val="0"/>
                <w:caps w:val="0"/>
                <w:color w:val="0F1115"/>
                <w:spacing w:val="0"/>
                <w:sz w:val="18"/>
                <w:szCs w:val="18"/>
                <w:shd w:val="clear" w:fill="FFFFFF"/>
              </w:rPr>
              <w:t>在</w:t>
            </w:r>
            <w:r>
              <w:rPr>
                <w:rFonts w:hint="eastAsia" w:ascii="宋体" w:hAnsi="宋体" w:eastAsia="宋体" w:cs="宋体"/>
                <w:i w:val="0"/>
                <w:iCs w:val="0"/>
                <w:caps w:val="0"/>
                <w:color w:val="0F1115"/>
                <w:spacing w:val="0"/>
                <w:sz w:val="18"/>
                <w:szCs w:val="18"/>
                <w:shd w:val="clear" w:fill="FFFFFF"/>
                <w:lang w:val="en-US" w:eastAsia="zh-CN"/>
              </w:rPr>
              <w:t>水泥</w:t>
            </w:r>
            <w:r>
              <w:rPr>
                <w:rFonts w:hint="eastAsia" w:ascii="宋体" w:hAnsi="宋体" w:eastAsia="宋体" w:cs="宋体"/>
                <w:i w:val="0"/>
                <w:iCs w:val="0"/>
                <w:caps w:val="0"/>
                <w:color w:val="0F1115"/>
                <w:spacing w:val="0"/>
                <w:sz w:val="18"/>
                <w:szCs w:val="18"/>
                <w:shd w:val="clear" w:fill="FFFFFF"/>
              </w:rPr>
              <w:t>熟料生产中可较为显著降低</w:t>
            </w:r>
            <w:r>
              <w:rPr>
                <w:rFonts w:hint="eastAsia" w:ascii="宋体" w:hAnsi="宋体" w:eastAsia="宋体" w:cs="宋体"/>
                <w:i w:val="0"/>
                <w:iCs w:val="0"/>
                <w:caps w:val="0"/>
                <w:color w:val="0F1115"/>
                <w:spacing w:val="0"/>
                <w:sz w:val="18"/>
                <w:szCs w:val="18"/>
                <w:shd w:val="clear" w:fill="FFFFFF"/>
                <w:lang w:val="en-US" w:eastAsia="zh-CN"/>
              </w:rPr>
              <w:t>碳</w:t>
            </w:r>
            <w:r>
              <w:rPr>
                <w:rFonts w:hint="eastAsia" w:ascii="宋体" w:hAnsi="宋体" w:eastAsia="宋体" w:cs="宋体"/>
                <w:i w:val="0"/>
                <w:iCs w:val="0"/>
                <w:caps w:val="0"/>
                <w:color w:val="0F1115"/>
                <w:spacing w:val="0"/>
                <w:sz w:val="18"/>
                <w:szCs w:val="18"/>
                <w:shd w:val="clear" w:fill="FFFFFF"/>
              </w:rPr>
              <w:t>排放的替代天然碳酸盐矿石原料的非碳酸盐原料，主要为工业废渣、经过高温煅烧的废渣或明确不含碳酸钙或碳酸镁的原料</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lang w:val="en-US" w:eastAsia="zh-CN"/>
              </w:rPr>
              <w:t>该</w:t>
            </w:r>
            <w:r>
              <w:rPr>
                <w:rFonts w:hint="eastAsia" w:ascii="宋体" w:hAnsi="宋体" w:eastAsia="宋体" w:cs="宋体"/>
                <w:i w:val="0"/>
                <w:iCs w:val="0"/>
                <w:caps w:val="0"/>
                <w:color w:val="0F1115"/>
                <w:spacing w:val="0"/>
                <w:sz w:val="18"/>
                <w:szCs w:val="18"/>
                <w:shd w:val="clear" w:fill="FFFFFF"/>
              </w:rPr>
              <w:t>指南中认可的非碳酸盐替代原料</w:t>
            </w:r>
            <w:r>
              <w:rPr>
                <w:rFonts w:hint="eastAsia" w:ascii="宋体" w:hAnsi="宋体" w:eastAsia="宋体" w:cs="宋体"/>
                <w:i w:val="0"/>
                <w:iCs w:val="0"/>
                <w:caps w:val="0"/>
                <w:color w:val="0F1115"/>
                <w:spacing w:val="0"/>
                <w:sz w:val="18"/>
                <w:szCs w:val="18"/>
                <w:shd w:val="clear" w:fill="FFFFFF"/>
                <w:lang w:val="en-US" w:eastAsia="zh-CN"/>
              </w:rPr>
              <w:t>较多，</w:t>
            </w:r>
            <w:r>
              <w:rPr>
                <w:rFonts w:hint="eastAsia" w:ascii="宋体" w:hAnsi="宋体" w:eastAsia="宋体" w:cs="宋体"/>
                <w:i w:val="0"/>
                <w:iCs w:val="0"/>
                <w:caps w:val="0"/>
                <w:color w:val="0F1115"/>
                <w:spacing w:val="0"/>
                <w:sz w:val="18"/>
                <w:szCs w:val="18"/>
                <w:shd w:val="clear" w:fill="FFFFFF"/>
              </w:rPr>
              <w:t>包括脱硫粉剂（氢氧化钙）、熟石灰、电石渣、镁渣、造纸白泥、氟化钙污泥、磷</w:t>
            </w:r>
            <w:r>
              <w:rPr>
                <w:rFonts w:hint="eastAsia" w:ascii="宋体" w:hAnsi="宋体" w:eastAsia="宋体" w:cs="宋体"/>
                <w:i w:val="0"/>
                <w:iCs w:val="0"/>
                <w:caps w:val="0"/>
                <w:color w:val="0F1115"/>
                <w:spacing w:val="0"/>
                <w:sz w:val="18"/>
                <w:szCs w:val="18"/>
                <w:shd w:val="clear" w:fill="FFFFFF"/>
                <w:lang w:val="en-US" w:eastAsia="zh-CN"/>
              </w:rPr>
              <w:t>渣、钒钛渣、氮渣、飞灰、铁合金炉渣、</w:t>
            </w:r>
            <w:r>
              <w:rPr>
                <w:rFonts w:hint="eastAsia" w:ascii="宋体" w:hAnsi="宋体" w:eastAsia="宋体" w:cs="宋体"/>
                <w:i w:val="0"/>
                <w:iCs w:val="0"/>
                <w:caps w:val="0"/>
                <w:color w:val="0F1115"/>
                <w:spacing w:val="0"/>
                <w:sz w:val="18"/>
                <w:szCs w:val="18"/>
                <w:shd w:val="clear" w:fill="FFFFFF"/>
              </w:rPr>
              <w:t>脱硫石膏、磷石膏、钛石膏、氟石膏、硼石膏、模型石膏、柠檬酸渣</w:t>
            </w:r>
            <w:r>
              <w:rPr>
                <w:rFonts w:hint="eastAsia" w:ascii="宋体" w:hAnsi="宋体" w:eastAsia="宋体" w:cs="宋体"/>
                <w:i w:val="0"/>
                <w:iCs w:val="0"/>
                <w:caps w:val="0"/>
                <w:color w:val="0F1115"/>
                <w:spacing w:val="0"/>
                <w:sz w:val="18"/>
                <w:szCs w:val="18"/>
                <w:shd w:val="clear" w:fill="FFFFFF"/>
                <w:lang w:val="en-US" w:eastAsia="zh-CN"/>
              </w:rPr>
              <w:t>等，镁渣降低水泥熟料生产中CO</w:t>
            </w:r>
            <w:r>
              <w:rPr>
                <w:rFonts w:hint="eastAsia" w:ascii="宋体" w:hAnsi="宋体" w:eastAsia="宋体" w:cs="宋体"/>
                <w:i w:val="0"/>
                <w:iCs w:val="0"/>
                <w:caps w:val="0"/>
                <w:color w:val="0F1115"/>
                <w:spacing w:val="0"/>
                <w:sz w:val="18"/>
                <w:szCs w:val="18"/>
                <w:shd w:val="clear" w:fill="FFFFFF"/>
                <w:vertAlign w:val="subscript"/>
                <w:lang w:val="en-US" w:eastAsia="zh-CN"/>
              </w:rPr>
              <w:t>2</w:t>
            </w:r>
            <w:r>
              <w:rPr>
                <w:rFonts w:hint="eastAsia" w:ascii="宋体" w:hAnsi="宋体" w:eastAsia="宋体" w:cs="宋体"/>
                <w:i w:val="0"/>
                <w:iCs w:val="0"/>
                <w:caps w:val="0"/>
                <w:color w:val="0F1115"/>
                <w:spacing w:val="0"/>
                <w:sz w:val="18"/>
                <w:szCs w:val="18"/>
                <w:shd w:val="clear" w:fill="FFFFFF"/>
              </w:rPr>
              <w:t>排放</w:t>
            </w:r>
            <w:r>
              <w:rPr>
                <w:rFonts w:hint="eastAsia" w:ascii="宋体" w:hAnsi="宋体" w:eastAsia="宋体" w:cs="宋体"/>
                <w:i w:val="0"/>
                <w:iCs w:val="0"/>
                <w:caps w:val="0"/>
                <w:color w:val="0F1115"/>
                <w:spacing w:val="0"/>
                <w:sz w:val="18"/>
                <w:szCs w:val="18"/>
                <w:shd w:val="clear" w:fill="FFFFFF"/>
                <w:lang w:val="en-US" w:eastAsia="zh-CN"/>
              </w:rPr>
              <w:t>的</w:t>
            </w:r>
            <w:r>
              <w:rPr>
                <w:rFonts w:hint="eastAsia" w:ascii="宋体" w:hAnsi="宋体" w:eastAsia="宋体" w:cs="宋体"/>
                <w:b/>
                <w:bCs/>
                <w:i w:val="0"/>
                <w:iCs w:val="0"/>
                <w:caps w:val="0"/>
                <w:color w:val="0F1115"/>
                <w:spacing w:val="0"/>
                <w:sz w:val="18"/>
                <w:szCs w:val="18"/>
                <w:shd w:val="clear" w:fill="FFFFFF"/>
                <w:lang w:val="en-US" w:eastAsia="zh-CN"/>
              </w:rPr>
              <w:t>扣减系数高达0.480tCO</w:t>
            </w:r>
            <w:r>
              <w:rPr>
                <w:rFonts w:hint="eastAsia" w:ascii="宋体" w:hAnsi="宋体" w:eastAsia="宋体" w:cs="宋体"/>
                <w:b/>
                <w:bCs/>
                <w:i w:val="0"/>
                <w:iCs w:val="0"/>
                <w:caps w:val="0"/>
                <w:color w:val="0F1115"/>
                <w:spacing w:val="0"/>
                <w:sz w:val="18"/>
                <w:szCs w:val="18"/>
                <w:shd w:val="clear" w:fill="FFFFFF"/>
                <w:vertAlign w:val="subscript"/>
                <w:lang w:val="en-US" w:eastAsia="zh-CN"/>
              </w:rPr>
              <w:t>2</w:t>
            </w:r>
            <w:r>
              <w:rPr>
                <w:rFonts w:hint="eastAsia" w:ascii="宋体" w:hAnsi="宋体" w:eastAsia="宋体" w:cs="宋体"/>
                <w:b/>
                <w:bCs/>
                <w:i w:val="0"/>
                <w:iCs w:val="0"/>
                <w:caps w:val="0"/>
                <w:color w:val="0F1115"/>
                <w:spacing w:val="0"/>
                <w:sz w:val="18"/>
                <w:szCs w:val="18"/>
                <w:shd w:val="clear" w:fill="FFFFFF"/>
                <w:lang w:val="en-US" w:eastAsia="zh-CN"/>
              </w:rPr>
              <w:t>/t</w:t>
            </w:r>
            <w:r>
              <w:rPr>
                <w:rFonts w:hint="eastAsia" w:ascii="宋体" w:hAnsi="宋体" w:eastAsia="宋体" w:cs="宋体"/>
                <w:i w:val="0"/>
                <w:iCs w:val="0"/>
                <w:caps w:val="0"/>
                <w:color w:val="0F1115"/>
                <w:spacing w:val="0"/>
                <w:sz w:val="18"/>
                <w:szCs w:val="18"/>
                <w:shd w:val="clear" w:fill="FFFFFF"/>
                <w:lang w:val="en-US" w:eastAsia="zh-CN"/>
              </w:rPr>
              <w:t>，与电石渣相同。</w:t>
            </w:r>
          </w:p>
          <w:p w14:paraId="0C0C6398">
            <w:pPr>
              <w:snapToGrid w:val="0"/>
              <w:spacing w:line="360" w:lineRule="auto"/>
              <w:ind w:firstLine="360" w:firstLineChars="200"/>
              <w:rPr>
                <w:rFonts w:hint="eastAsia" w:ascii="宋体" w:hAnsi="宋体" w:eastAsia="宋体" w:cs="宋体"/>
                <w:i w:val="0"/>
                <w:iCs w:val="0"/>
                <w:caps w:val="0"/>
                <w:color w:val="0F1115"/>
                <w:spacing w:val="0"/>
                <w:sz w:val="18"/>
                <w:szCs w:val="18"/>
                <w:shd w:val="clear" w:fill="FFFFFF"/>
                <w:lang w:eastAsia="zh-CN"/>
              </w:rPr>
            </w:pPr>
            <w:r>
              <w:rPr>
                <w:rFonts w:hint="eastAsia" w:ascii="宋体" w:hAnsi="宋体" w:eastAsia="宋体" w:cs="宋体"/>
                <w:i w:val="0"/>
                <w:iCs w:val="0"/>
                <w:caps w:val="0"/>
                <w:color w:val="0F1115"/>
                <w:spacing w:val="0"/>
                <w:sz w:val="18"/>
                <w:szCs w:val="18"/>
                <w:shd w:val="clear" w:fill="FFFFFF"/>
              </w:rPr>
              <w:t>2025年</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lang w:val="en-US" w:eastAsia="zh-CN"/>
              </w:rPr>
              <w:t>工业和信息化部</w:t>
            </w:r>
            <w:r>
              <w:rPr>
                <w:rFonts w:hint="eastAsia" w:ascii="宋体" w:hAnsi="宋体" w:eastAsia="宋体" w:cs="宋体"/>
                <w:i w:val="0"/>
                <w:iCs w:val="0"/>
                <w:caps w:val="0"/>
                <w:color w:val="0F1115"/>
                <w:spacing w:val="0"/>
                <w:sz w:val="18"/>
                <w:szCs w:val="18"/>
                <w:shd w:val="clear" w:fill="FFFFFF"/>
              </w:rPr>
              <w:t>发布《建材工业鼓励推广应用的技术和产品目录（2025年本）》</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rPr>
              <w:t>明确将“采用镁渣等工业废渣废弃物替代石灰石等作为水泥生产用原料”列为鼓励推广技术，要求原料替代率10%以上</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rPr>
              <w:t>宁夏地区已将“镁渣</w:t>
            </w:r>
            <w:r>
              <w:rPr>
                <w:rFonts w:hint="eastAsia" w:eastAsia="宋体"/>
                <w:sz w:val="18"/>
                <w:szCs w:val="18"/>
                <w:lang w:val="en-US" w:eastAsia="zh-CN"/>
              </w:rPr>
              <w:t>用作水泥熟料</w:t>
            </w:r>
            <w:r>
              <w:rPr>
                <w:rFonts w:hint="eastAsia" w:ascii="宋体" w:hAnsi="宋体" w:eastAsia="宋体" w:cs="宋体"/>
                <w:i w:val="0"/>
                <w:iCs w:val="0"/>
                <w:caps w:val="0"/>
                <w:color w:val="0F1115"/>
                <w:spacing w:val="0"/>
                <w:sz w:val="18"/>
                <w:szCs w:val="18"/>
                <w:shd w:val="clear" w:fill="FFFFFF"/>
              </w:rPr>
              <w:t>替代原料技术”列入重点节能低碳技术推荐目录，并已在水泥</w:t>
            </w:r>
            <w:r>
              <w:rPr>
                <w:rFonts w:hint="eastAsia" w:ascii="宋体" w:hAnsi="宋体" w:eastAsia="宋体" w:cs="宋体"/>
                <w:i w:val="0"/>
                <w:iCs w:val="0"/>
                <w:caps w:val="0"/>
                <w:color w:val="0F1115"/>
                <w:spacing w:val="0"/>
                <w:sz w:val="18"/>
                <w:szCs w:val="18"/>
                <w:shd w:val="clear" w:fill="FFFFFF"/>
                <w:lang w:val="en-US" w:eastAsia="zh-CN"/>
              </w:rPr>
              <w:t>生产</w:t>
            </w:r>
            <w:r>
              <w:rPr>
                <w:rFonts w:hint="eastAsia" w:ascii="宋体" w:hAnsi="宋体" w:eastAsia="宋体" w:cs="宋体"/>
                <w:i w:val="0"/>
                <w:iCs w:val="0"/>
                <w:caps w:val="0"/>
                <w:color w:val="0F1115"/>
                <w:spacing w:val="0"/>
                <w:sz w:val="18"/>
                <w:szCs w:val="18"/>
                <w:shd w:val="clear" w:fill="FFFFFF"/>
              </w:rPr>
              <w:t>企业实际应用</w:t>
            </w:r>
            <w:r>
              <w:rPr>
                <w:rFonts w:hint="eastAsia" w:ascii="宋体" w:hAnsi="宋体" w:eastAsia="宋体" w:cs="宋体"/>
                <w:i w:val="0"/>
                <w:iCs w:val="0"/>
                <w:caps w:val="0"/>
                <w:color w:val="0F1115"/>
                <w:spacing w:val="0"/>
                <w:sz w:val="18"/>
                <w:szCs w:val="18"/>
                <w:shd w:val="clear" w:fill="FFFFFF"/>
                <w:lang w:eastAsia="zh-CN"/>
              </w:rPr>
              <w:t>。</w:t>
            </w:r>
          </w:p>
          <w:p w14:paraId="6B2E6C77">
            <w:pPr>
              <w:snapToGrid w:val="0"/>
              <w:spacing w:line="360" w:lineRule="auto"/>
              <w:ind w:firstLine="360" w:firstLineChars="200"/>
              <w:rPr>
                <w:rFonts w:hint="eastAsia" w:ascii="宋体" w:hAnsi="宋体" w:eastAsia="宋体"/>
                <w:sz w:val="18"/>
                <w:szCs w:val="18"/>
              </w:rPr>
            </w:pPr>
            <w:r>
              <w:rPr>
                <w:rFonts w:hint="eastAsia" w:ascii="宋体" w:hAnsi="宋体" w:eastAsia="宋体" w:cs="宋体"/>
                <w:sz w:val="18"/>
                <w:szCs w:val="18"/>
              </w:rPr>
              <w:t>随着“双碳”战略深入推进，镁渣替代水泥熟料原料技术将迎来快速发展期，有望成为水泥工业绿色低碳转型</w:t>
            </w:r>
            <w:r>
              <w:rPr>
                <w:rFonts w:hint="eastAsia" w:ascii="宋体" w:hAnsi="宋体" w:eastAsia="宋体" w:cs="宋体"/>
                <w:sz w:val="18"/>
                <w:szCs w:val="18"/>
                <w:lang w:val="en-US" w:eastAsia="zh-CN"/>
              </w:rPr>
              <w:t>发展</w:t>
            </w:r>
            <w:r>
              <w:rPr>
                <w:rFonts w:hint="eastAsia" w:ascii="宋体" w:hAnsi="宋体" w:eastAsia="宋体" w:cs="宋体"/>
                <w:sz w:val="18"/>
                <w:szCs w:val="18"/>
              </w:rPr>
              <w:t>的重要支撑技术。</w:t>
            </w:r>
            <w:r>
              <w:rPr>
                <w:rFonts w:hint="eastAsia" w:ascii="宋体" w:hAnsi="宋体" w:eastAsia="宋体" w:cs="宋体"/>
                <w:sz w:val="18"/>
                <w:szCs w:val="18"/>
                <w:lang w:val="en-US" w:eastAsia="zh-CN"/>
              </w:rPr>
              <w:t>然而，目前水泥熟料生产企业在使用镁渣中还存在一些不规范问题，如镁渣中MgO含量高，而采用常规方式</w:t>
            </w:r>
            <w:r>
              <w:rPr>
                <w:rFonts w:hint="eastAsia" w:ascii="宋体" w:hAnsi="宋体" w:eastAsia="宋体"/>
                <w:sz w:val="18"/>
                <w:szCs w:val="18"/>
                <w:lang w:val="en-US" w:eastAsia="zh-CN"/>
              </w:rPr>
              <w:t>配料，带入的MgO会使液相出现温度降低，液相粘度下降，影响水泥窑运行和水泥熟料质量。</w:t>
            </w:r>
            <w:r>
              <w:rPr>
                <w:rFonts w:hint="eastAsia" w:ascii="宋体" w:hAnsi="宋体" w:eastAsia="宋体" w:cs="宋体"/>
                <w:sz w:val="18"/>
                <w:szCs w:val="18"/>
                <w:lang w:val="en-US" w:eastAsia="zh-CN"/>
              </w:rPr>
              <w:t>目前</w:t>
            </w:r>
            <w:r>
              <w:rPr>
                <w:rFonts w:hint="eastAsia" w:ascii="宋体" w:hAnsi="宋体" w:eastAsia="宋体" w:cs="宋体"/>
                <w:sz w:val="18"/>
                <w:szCs w:val="18"/>
                <w:lang w:eastAsia="zh-CN"/>
              </w:rPr>
              <w:t>，</w:t>
            </w:r>
            <w:r>
              <w:rPr>
                <w:rFonts w:hint="eastAsia" w:ascii="宋体" w:hAnsi="宋体" w:eastAsia="宋体" w:cs="宋体"/>
                <w:sz w:val="18"/>
                <w:szCs w:val="18"/>
              </w:rPr>
              <w:t>我国</w:t>
            </w:r>
            <w:r>
              <w:rPr>
                <w:rFonts w:hint="eastAsia" w:ascii="宋体" w:hAnsi="宋体" w:eastAsia="宋体" w:cs="宋体"/>
                <w:sz w:val="18"/>
                <w:szCs w:val="18"/>
                <w:lang w:val="en-US" w:eastAsia="zh-CN"/>
              </w:rPr>
              <w:t>尚无镁渣在水泥熟料替代原料中使用的相关标准规范，</w:t>
            </w:r>
            <w:r>
              <w:rPr>
                <w:rFonts w:hint="eastAsia" w:ascii="宋体" w:hAnsi="宋体" w:eastAsia="宋体" w:cs="宋体"/>
                <w:sz w:val="18"/>
                <w:szCs w:val="18"/>
              </w:rPr>
              <w:t>导致其资源化利用缺乏统一的技术指引和质量要求</w:t>
            </w:r>
            <w:r>
              <w:rPr>
                <w:rFonts w:hint="eastAsia" w:ascii="宋体" w:hAnsi="宋体" w:eastAsia="宋体" w:cs="宋体"/>
                <w:sz w:val="18"/>
                <w:szCs w:val="18"/>
                <w:lang w:eastAsia="zh-CN"/>
              </w:rPr>
              <w:t>，</w:t>
            </w:r>
            <w:r>
              <w:rPr>
                <w:rFonts w:hint="eastAsia" w:ascii="宋体" w:hAnsi="宋体" w:eastAsia="宋体" w:cs="宋体"/>
                <w:sz w:val="18"/>
                <w:szCs w:val="18"/>
              </w:rPr>
              <w:t>本标准的制定将填补这一领域的空白，从原料准入、成分控制到应用要求，规范镁渣在水泥熟料生产中的替代应用，保障产品质量与环境安全</w:t>
            </w:r>
            <w:r>
              <w:rPr>
                <w:rFonts w:hint="eastAsia" w:ascii="宋体" w:hAnsi="宋体" w:eastAsia="宋体" w:cs="宋体"/>
                <w:sz w:val="18"/>
                <w:szCs w:val="18"/>
                <w:lang w:eastAsia="zh-CN"/>
              </w:rPr>
              <w:t>，</w:t>
            </w:r>
            <w:r>
              <w:rPr>
                <w:rFonts w:hint="eastAsia" w:ascii="宋体" w:hAnsi="宋体" w:eastAsia="宋体" w:cs="宋体"/>
                <w:sz w:val="18"/>
                <w:szCs w:val="18"/>
              </w:rPr>
              <w:t>为镁渣在水泥工业中的资源化利用提供技术依据</w:t>
            </w:r>
            <w:r>
              <w:rPr>
                <w:rFonts w:hint="eastAsia" w:ascii="宋体" w:hAnsi="宋体" w:eastAsia="宋体" w:cs="宋体"/>
                <w:sz w:val="18"/>
                <w:szCs w:val="18"/>
                <w:lang w:eastAsia="zh-CN"/>
              </w:rPr>
              <w:t>。</w:t>
            </w:r>
          </w:p>
        </w:tc>
      </w:tr>
      <w:tr w14:paraId="7362F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50" w:type="dxa"/>
            <w:vAlign w:val="center"/>
          </w:tcPr>
          <w:p w14:paraId="0851B5C4">
            <w:pPr>
              <w:snapToGrid w:val="0"/>
              <w:spacing w:line="360" w:lineRule="auto"/>
              <w:jc w:val="center"/>
              <w:rPr>
                <w:rFonts w:hint="eastAsia" w:ascii="宋体" w:hAnsi="宋体" w:eastAsia="宋体"/>
                <w:sz w:val="18"/>
                <w:szCs w:val="18"/>
              </w:rPr>
            </w:pPr>
            <w:r>
              <w:rPr>
                <w:rFonts w:hint="eastAsia" w:ascii="宋体" w:hAnsi="宋体" w:eastAsia="宋体"/>
                <w:sz w:val="18"/>
                <w:szCs w:val="18"/>
              </w:rPr>
              <w:t>范围和主要</w:t>
            </w:r>
          </w:p>
          <w:p w14:paraId="41B6E177">
            <w:pPr>
              <w:snapToGrid w:val="0"/>
              <w:spacing w:line="360" w:lineRule="auto"/>
              <w:jc w:val="center"/>
              <w:rPr>
                <w:rFonts w:hint="eastAsia" w:ascii="宋体" w:hAnsi="宋体" w:eastAsia="宋体"/>
                <w:sz w:val="18"/>
                <w:szCs w:val="18"/>
              </w:rPr>
            </w:pPr>
            <w:r>
              <w:rPr>
                <w:rFonts w:hint="eastAsia" w:ascii="宋体" w:hAnsi="宋体" w:eastAsia="宋体"/>
                <w:sz w:val="18"/>
                <w:szCs w:val="18"/>
              </w:rPr>
              <w:t>技术内容</w:t>
            </w:r>
          </w:p>
        </w:tc>
        <w:tc>
          <w:tcPr>
            <w:tcW w:w="7690" w:type="dxa"/>
            <w:gridSpan w:val="8"/>
            <w:vAlign w:val="center"/>
          </w:tcPr>
          <w:p w14:paraId="1FF47417">
            <w:p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标准的技术内容与适用范围；</w:t>
            </w:r>
          </w:p>
          <w:p w14:paraId="6F289949">
            <w:pPr>
              <w:snapToGrid w:val="0"/>
              <w:spacing w:line="360" w:lineRule="auto"/>
              <w:ind w:firstLine="360" w:firstLineChars="200"/>
              <w:rPr>
                <w:rFonts w:hint="eastAsia" w:eastAsia="宋体"/>
                <w:sz w:val="18"/>
                <w:szCs w:val="18"/>
                <w:lang w:val="en-US" w:eastAsia="zh-CN"/>
              </w:rPr>
            </w:pPr>
            <w:r>
              <w:rPr>
                <w:rFonts w:hint="eastAsia" w:eastAsia="宋体"/>
                <w:sz w:val="18"/>
                <w:szCs w:val="18"/>
                <w:lang w:val="en-US" w:eastAsia="zh-CN"/>
              </w:rPr>
              <w:t>本文件规定了镁渣用作水泥熟料替代原料的术语和定义、总体要求、技术要求、试验方法、检验规则以及运输与贮存等。</w:t>
            </w:r>
          </w:p>
          <w:p w14:paraId="55CAD441">
            <w:pPr>
              <w:snapToGrid w:val="0"/>
              <w:spacing w:line="360" w:lineRule="auto"/>
              <w:ind w:firstLine="360" w:firstLineChars="200"/>
              <w:rPr>
                <w:rFonts w:hint="eastAsia" w:eastAsia="宋体"/>
                <w:sz w:val="18"/>
                <w:szCs w:val="18"/>
              </w:rPr>
            </w:pPr>
            <w:r>
              <w:rPr>
                <w:rFonts w:hint="eastAsia" w:eastAsia="宋体"/>
                <w:sz w:val="18"/>
                <w:szCs w:val="18"/>
              </w:rPr>
              <w:t>本文件适用于</w:t>
            </w:r>
            <w:r>
              <w:rPr>
                <w:rFonts w:hint="eastAsia" w:eastAsia="宋体"/>
                <w:sz w:val="18"/>
                <w:szCs w:val="18"/>
                <w:lang w:val="en-US" w:eastAsia="zh-CN"/>
              </w:rPr>
              <w:t>镁渣</w:t>
            </w:r>
            <w:r>
              <w:rPr>
                <w:rFonts w:hint="eastAsia" w:eastAsia="宋体"/>
                <w:sz w:val="18"/>
                <w:szCs w:val="18"/>
              </w:rPr>
              <w:t>作为水泥熟料替代原料的应用。</w:t>
            </w:r>
          </w:p>
          <w:p w14:paraId="00165261">
            <w:pPr>
              <w:snapToGrid w:val="0"/>
              <w:spacing w:line="360" w:lineRule="auto"/>
              <w:ind w:firstLine="360" w:firstLineChars="200"/>
              <w:rPr>
                <w:rFonts w:hint="eastAsia" w:ascii="宋体" w:hAnsi="宋体" w:eastAsia="宋体"/>
                <w:sz w:val="18"/>
                <w:szCs w:val="18"/>
              </w:rPr>
            </w:pPr>
            <w:r>
              <w:rPr>
                <w:rFonts w:hint="eastAsia" w:ascii="宋体" w:hAnsi="宋体" w:eastAsia="宋体" w:cs="宋体"/>
                <w:kern w:val="2"/>
                <w:sz w:val="18"/>
                <w:szCs w:val="18"/>
                <w:lang w:val="en-US" w:eastAsia="zh-CN" w:bidi="ar-SA"/>
              </w:rPr>
              <w:t>主要技术内容：术语与定义、总体要求、外观质量要求（色泽均匀无明显杂质）、化学组成要求（CaO、SiO</w:t>
            </w:r>
            <w:r>
              <w:rPr>
                <w:rFonts w:hint="eastAsia" w:ascii="宋体" w:hAnsi="宋体" w:eastAsia="宋体" w:cs="宋体"/>
                <w:kern w:val="2"/>
                <w:sz w:val="18"/>
                <w:szCs w:val="18"/>
                <w:vertAlign w:val="subscript"/>
                <w:lang w:val="en-US" w:eastAsia="zh-CN" w:bidi="ar-SA"/>
              </w:rPr>
              <w:t>2</w:t>
            </w:r>
            <w:r>
              <w:rPr>
                <w:rFonts w:hint="eastAsia" w:ascii="宋体" w:hAnsi="宋体" w:eastAsia="宋体" w:cs="宋体"/>
                <w:kern w:val="2"/>
                <w:sz w:val="18"/>
                <w:szCs w:val="18"/>
                <w:lang w:val="en-US" w:eastAsia="zh-CN" w:bidi="ar-SA"/>
              </w:rPr>
              <w:t>、MgO、Fe</w:t>
            </w:r>
            <w:r>
              <w:rPr>
                <w:rFonts w:hint="eastAsia" w:ascii="宋体" w:hAnsi="宋体" w:eastAsia="宋体" w:cs="宋体"/>
                <w:kern w:val="2"/>
                <w:sz w:val="18"/>
                <w:szCs w:val="18"/>
                <w:vertAlign w:val="subscript"/>
                <w:lang w:val="en-US" w:eastAsia="zh-CN" w:bidi="ar-SA"/>
              </w:rPr>
              <w:t>2</w:t>
            </w:r>
            <w:r>
              <w:rPr>
                <w:rFonts w:hint="eastAsia" w:ascii="宋体" w:hAnsi="宋体" w:eastAsia="宋体" w:cs="宋体"/>
                <w:kern w:val="2"/>
                <w:sz w:val="18"/>
                <w:szCs w:val="18"/>
                <w:lang w:val="en-US" w:eastAsia="zh-CN" w:bidi="ar-SA"/>
              </w:rPr>
              <w:t>O</w:t>
            </w:r>
            <w:r>
              <w:rPr>
                <w:rFonts w:hint="eastAsia" w:ascii="宋体" w:hAnsi="宋体" w:eastAsia="宋体" w:cs="宋体"/>
                <w:kern w:val="2"/>
                <w:sz w:val="18"/>
                <w:szCs w:val="18"/>
                <w:vertAlign w:val="subscript"/>
                <w:lang w:val="en-US" w:eastAsia="zh-CN" w:bidi="ar-SA"/>
              </w:rPr>
              <w:t>3</w:t>
            </w:r>
            <w:r>
              <w:rPr>
                <w:rFonts w:hint="eastAsia" w:ascii="宋体" w:hAnsi="宋体" w:eastAsia="宋体" w:cs="宋体"/>
                <w:kern w:val="2"/>
                <w:sz w:val="18"/>
                <w:szCs w:val="18"/>
                <w:lang w:val="en-US" w:eastAsia="zh-CN" w:bidi="ar-SA"/>
              </w:rPr>
              <w:t>、A1</w:t>
            </w:r>
            <w:r>
              <w:rPr>
                <w:rFonts w:hint="eastAsia" w:ascii="宋体" w:hAnsi="宋体" w:eastAsia="宋体" w:cs="宋体"/>
                <w:kern w:val="2"/>
                <w:sz w:val="18"/>
                <w:szCs w:val="18"/>
                <w:vertAlign w:val="subscript"/>
                <w:lang w:val="en-US" w:eastAsia="zh-CN" w:bidi="ar-SA"/>
              </w:rPr>
              <w:t>2</w:t>
            </w:r>
            <w:r>
              <w:rPr>
                <w:rFonts w:hint="eastAsia" w:ascii="宋体" w:hAnsi="宋体" w:eastAsia="宋体" w:cs="宋体"/>
                <w:kern w:val="2"/>
                <w:sz w:val="18"/>
                <w:szCs w:val="18"/>
                <w:lang w:val="en-US" w:eastAsia="zh-CN" w:bidi="ar-SA"/>
              </w:rPr>
              <w:t>O</w:t>
            </w:r>
            <w:r>
              <w:rPr>
                <w:rFonts w:hint="eastAsia" w:ascii="宋体" w:hAnsi="宋体" w:eastAsia="宋体" w:cs="宋体"/>
                <w:kern w:val="2"/>
                <w:sz w:val="18"/>
                <w:szCs w:val="18"/>
                <w:vertAlign w:val="subscript"/>
                <w:lang w:val="en-US" w:eastAsia="zh-CN" w:bidi="ar-SA"/>
              </w:rPr>
              <w:t>3</w:t>
            </w:r>
            <w:r>
              <w:rPr>
                <w:rFonts w:hint="eastAsia" w:ascii="宋体" w:hAnsi="宋体" w:eastAsia="宋体" w:cs="宋体"/>
                <w:kern w:val="2"/>
                <w:sz w:val="18"/>
                <w:szCs w:val="18"/>
                <w:lang w:val="en-US" w:eastAsia="zh-CN" w:bidi="ar-SA"/>
              </w:rPr>
              <w:t>、SO</w:t>
            </w:r>
            <w:r>
              <w:rPr>
                <w:rFonts w:hint="eastAsia" w:ascii="宋体" w:hAnsi="宋体" w:eastAsia="宋体" w:cs="宋体"/>
                <w:kern w:val="2"/>
                <w:sz w:val="18"/>
                <w:szCs w:val="18"/>
                <w:vertAlign w:val="subscript"/>
                <w:lang w:val="en-US" w:eastAsia="zh-CN" w:bidi="ar-SA"/>
              </w:rPr>
              <w:t>3</w:t>
            </w:r>
            <w:r>
              <w:rPr>
                <w:rFonts w:hint="eastAsia" w:ascii="宋体" w:hAnsi="宋体" w:eastAsia="宋体" w:cs="宋体"/>
                <w:kern w:val="2"/>
                <w:sz w:val="18"/>
                <w:szCs w:val="18"/>
                <w:lang w:val="en-US" w:eastAsia="zh-CN" w:bidi="ar-SA"/>
              </w:rPr>
              <w:t>、Cl</w:t>
            </w:r>
            <w:r>
              <w:rPr>
                <w:rFonts w:hint="eastAsia" w:ascii="宋体" w:hAnsi="宋体" w:eastAsia="宋体" w:cs="宋体"/>
                <w:kern w:val="2"/>
                <w:sz w:val="18"/>
                <w:szCs w:val="18"/>
                <w:vertAlign w:val="superscript"/>
                <w:lang w:val="en-US" w:eastAsia="zh-CN" w:bidi="ar-SA"/>
              </w:rPr>
              <w:t>-</w:t>
            </w:r>
            <w:r>
              <w:rPr>
                <w:rFonts w:hint="eastAsia" w:ascii="宋体" w:hAnsi="宋体" w:eastAsia="宋体" w:cs="宋体"/>
                <w:kern w:val="2"/>
                <w:sz w:val="18"/>
                <w:szCs w:val="18"/>
                <w:lang w:val="en-US" w:eastAsia="zh-CN" w:bidi="ar-SA"/>
              </w:rPr>
              <w:t>等质量分数）、物理性能要求（含水率、粒度等）、稳定性要求（来源稳定，CaO、MgO等质量分数的波动范围）、环保安全性要求（放射性、重金属含量等）、应用工艺要求（配料设计、过程控制、质量控制等）、试验方法、检验规则（出厂与型式检验项目、批次判定）、产品合格证、运输与贮存要求以及资料性附录（包括典型镁渣化学成分参考范围、镁渣替代原料配料计算示例等）。</w:t>
            </w:r>
          </w:p>
        </w:tc>
      </w:tr>
      <w:tr w14:paraId="5AE0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050" w:type="dxa"/>
            <w:vAlign w:val="center"/>
          </w:tcPr>
          <w:p w14:paraId="361CEDA6">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国内外情况</w:t>
            </w:r>
          </w:p>
          <w:p w14:paraId="0ED5D997">
            <w:pPr>
              <w:snapToGrid w:val="0"/>
              <w:spacing w:line="360" w:lineRule="auto"/>
              <w:jc w:val="center"/>
              <w:rPr>
                <w:rFonts w:hint="eastAsia" w:ascii="宋体" w:hAnsi="宋体" w:eastAsia="宋体"/>
                <w:sz w:val="18"/>
                <w:szCs w:val="18"/>
              </w:rPr>
            </w:pPr>
            <w:r>
              <w:rPr>
                <w:rFonts w:hint="eastAsia" w:ascii="宋体" w:hAnsi="宋体" w:eastAsia="宋体"/>
                <w:sz w:val="18"/>
                <w:szCs w:val="18"/>
              </w:rPr>
              <w:t>简要说明</w:t>
            </w:r>
          </w:p>
        </w:tc>
        <w:tc>
          <w:tcPr>
            <w:tcW w:w="7690" w:type="dxa"/>
            <w:gridSpan w:val="8"/>
            <w:vAlign w:val="center"/>
          </w:tcPr>
          <w:p w14:paraId="66EAB7E7">
            <w:pPr>
              <w:numPr>
                <w:ilvl w:val="0"/>
                <w:numId w:val="1"/>
              </w:num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国内外对该技术研究情况简要说明：</w:t>
            </w:r>
          </w:p>
          <w:p w14:paraId="296D60CD">
            <w:pPr>
              <w:numPr>
                <w:ilvl w:val="0"/>
                <w:numId w:val="0"/>
              </w:numPr>
              <w:snapToGrid w:val="0"/>
              <w:spacing w:line="360" w:lineRule="auto"/>
              <w:ind w:firstLine="360" w:firstLineChars="200"/>
              <w:rPr>
                <w:rFonts w:hint="eastAsia" w:ascii="宋体" w:hAnsi="宋体" w:eastAsia="宋体" w:cs="宋体"/>
                <w:i w:val="0"/>
                <w:iCs w:val="0"/>
                <w:caps w:val="0"/>
                <w:color w:val="0F1115"/>
                <w:spacing w:val="0"/>
                <w:sz w:val="18"/>
                <w:szCs w:val="18"/>
                <w:shd w:val="clear" w:fill="FFFFFF"/>
                <w:lang w:val="en-US" w:eastAsia="zh-CN"/>
              </w:rPr>
            </w:pPr>
            <w:r>
              <w:rPr>
                <w:rFonts w:hint="eastAsia" w:ascii="宋体" w:hAnsi="宋体" w:eastAsia="宋体" w:cs="宋体"/>
                <w:i w:val="0"/>
                <w:iCs w:val="0"/>
                <w:caps w:val="0"/>
                <w:color w:val="0F1115"/>
                <w:spacing w:val="0"/>
                <w:sz w:val="18"/>
                <w:szCs w:val="18"/>
                <w:shd w:val="clear" w:fill="FFFFFF"/>
                <w:lang w:val="en-US" w:eastAsia="zh-CN"/>
              </w:rPr>
              <w:t>我国对镁渣用作水泥原料的研究起步较早。早在2000年，国内学者就开展了镁渣配料煅烧硅酸盐水泥熟料的研究，近年来，该方面研究进入快速发展阶段，主要研究进展包括：（1）基础理论研究方面：系统揭示了镁渣的理化特性。镁渣中含有大量的CaO、SiO</w:t>
            </w:r>
            <w:r>
              <w:rPr>
                <w:rFonts w:hint="eastAsia" w:ascii="宋体" w:hAnsi="宋体" w:eastAsia="宋体" w:cs="宋体"/>
                <w:i w:val="0"/>
                <w:iCs w:val="0"/>
                <w:caps w:val="0"/>
                <w:color w:val="0F1115"/>
                <w:spacing w:val="0"/>
                <w:sz w:val="18"/>
                <w:szCs w:val="18"/>
                <w:shd w:val="clear" w:fill="FFFFFF"/>
                <w:vertAlign w:val="subscript"/>
                <w:lang w:val="en-US" w:eastAsia="zh-CN"/>
              </w:rPr>
              <w:t>2</w:t>
            </w:r>
            <w:r>
              <w:rPr>
                <w:rFonts w:hint="eastAsia" w:ascii="宋体" w:hAnsi="宋体" w:eastAsia="宋体" w:cs="宋体"/>
                <w:i w:val="0"/>
                <w:iCs w:val="0"/>
                <w:caps w:val="0"/>
                <w:color w:val="0F1115"/>
                <w:spacing w:val="0"/>
                <w:sz w:val="18"/>
                <w:szCs w:val="18"/>
                <w:shd w:val="clear" w:fill="FFFFFF"/>
                <w:lang w:val="en-US" w:eastAsia="zh-CN"/>
              </w:rPr>
              <w:t>和少量Al</w:t>
            </w:r>
            <w:r>
              <w:rPr>
                <w:rFonts w:hint="eastAsia" w:ascii="宋体" w:hAnsi="宋体" w:eastAsia="宋体" w:cs="宋体"/>
                <w:i w:val="0"/>
                <w:iCs w:val="0"/>
                <w:caps w:val="0"/>
                <w:color w:val="0F1115"/>
                <w:spacing w:val="0"/>
                <w:sz w:val="18"/>
                <w:szCs w:val="18"/>
                <w:shd w:val="clear" w:fill="FFFFFF"/>
                <w:vertAlign w:val="subscript"/>
                <w:lang w:val="en-US" w:eastAsia="zh-CN"/>
              </w:rPr>
              <w:t>2</w:t>
            </w:r>
            <w:r>
              <w:rPr>
                <w:rFonts w:hint="eastAsia" w:ascii="宋体" w:hAnsi="宋体" w:eastAsia="宋体" w:cs="宋体"/>
                <w:i w:val="0"/>
                <w:iCs w:val="0"/>
                <w:caps w:val="0"/>
                <w:color w:val="0F1115"/>
                <w:spacing w:val="0"/>
                <w:sz w:val="18"/>
                <w:szCs w:val="18"/>
                <w:shd w:val="clear" w:fill="FFFFFF"/>
                <w:lang w:val="en-US" w:eastAsia="zh-CN"/>
              </w:rPr>
              <w:t>O</w:t>
            </w:r>
            <w:r>
              <w:rPr>
                <w:rFonts w:hint="eastAsia" w:ascii="宋体" w:hAnsi="宋体" w:eastAsia="宋体" w:cs="宋体"/>
                <w:i w:val="0"/>
                <w:iCs w:val="0"/>
                <w:caps w:val="0"/>
                <w:color w:val="0F1115"/>
                <w:spacing w:val="0"/>
                <w:sz w:val="18"/>
                <w:szCs w:val="18"/>
                <w:shd w:val="clear" w:fill="FFFFFF"/>
                <w:vertAlign w:val="subscript"/>
                <w:lang w:val="en-US" w:eastAsia="zh-CN"/>
              </w:rPr>
              <w:t>3</w:t>
            </w:r>
            <w:r>
              <w:rPr>
                <w:rFonts w:hint="eastAsia" w:ascii="宋体" w:hAnsi="宋体" w:eastAsia="宋体" w:cs="宋体"/>
                <w:i w:val="0"/>
                <w:iCs w:val="0"/>
                <w:caps w:val="0"/>
                <w:color w:val="0F1115"/>
                <w:spacing w:val="0"/>
                <w:sz w:val="18"/>
                <w:szCs w:val="18"/>
                <w:shd w:val="clear" w:fill="FFFFFF"/>
                <w:lang w:val="en-US" w:eastAsia="zh-CN"/>
              </w:rPr>
              <w:t>、Fe</w:t>
            </w:r>
            <w:r>
              <w:rPr>
                <w:rFonts w:hint="eastAsia" w:ascii="宋体" w:hAnsi="宋体" w:eastAsia="宋体" w:cs="宋体"/>
                <w:i w:val="0"/>
                <w:iCs w:val="0"/>
                <w:caps w:val="0"/>
                <w:color w:val="0F1115"/>
                <w:spacing w:val="0"/>
                <w:sz w:val="18"/>
                <w:szCs w:val="18"/>
                <w:shd w:val="clear" w:fill="FFFFFF"/>
                <w:vertAlign w:val="subscript"/>
                <w:lang w:val="en-US" w:eastAsia="zh-CN"/>
              </w:rPr>
              <w:t>2</w:t>
            </w:r>
            <w:r>
              <w:rPr>
                <w:rFonts w:hint="eastAsia" w:ascii="宋体" w:hAnsi="宋体" w:eastAsia="宋体" w:cs="宋体"/>
                <w:i w:val="0"/>
                <w:iCs w:val="0"/>
                <w:caps w:val="0"/>
                <w:color w:val="0F1115"/>
                <w:spacing w:val="0"/>
                <w:sz w:val="18"/>
                <w:szCs w:val="18"/>
                <w:shd w:val="clear" w:fill="FFFFFF"/>
                <w:lang w:val="en-US" w:eastAsia="zh-CN"/>
              </w:rPr>
              <w:t>O</w:t>
            </w:r>
            <w:r>
              <w:rPr>
                <w:rFonts w:hint="eastAsia" w:ascii="宋体" w:hAnsi="宋体" w:eastAsia="宋体" w:cs="宋体"/>
                <w:i w:val="0"/>
                <w:iCs w:val="0"/>
                <w:caps w:val="0"/>
                <w:color w:val="0F1115"/>
                <w:spacing w:val="0"/>
                <w:sz w:val="18"/>
                <w:szCs w:val="18"/>
                <w:shd w:val="clear" w:fill="FFFFFF"/>
                <w:vertAlign w:val="subscript"/>
                <w:lang w:val="en-US" w:eastAsia="zh-CN"/>
              </w:rPr>
              <w:t>3</w:t>
            </w:r>
            <w:r>
              <w:rPr>
                <w:rFonts w:hint="eastAsia" w:ascii="宋体" w:hAnsi="宋体" w:eastAsia="宋体" w:cs="宋体"/>
                <w:i w:val="0"/>
                <w:iCs w:val="0"/>
                <w:caps w:val="0"/>
                <w:color w:val="0F1115"/>
                <w:spacing w:val="0"/>
                <w:sz w:val="18"/>
                <w:szCs w:val="18"/>
                <w:shd w:val="clear" w:fill="FFFFFF"/>
                <w:lang w:val="en-US" w:eastAsia="zh-CN"/>
              </w:rPr>
              <w:t>，其组分与水泥熟料所需的钙硅铝铁体系高度契合。研究表明，镁渣的水化活性与其冷却速率密切相关，急冷处理可有效抑制β-C</w:t>
            </w:r>
            <w:r>
              <w:rPr>
                <w:rFonts w:hint="eastAsia" w:ascii="宋体" w:hAnsi="宋体" w:eastAsia="宋体" w:cs="宋体"/>
                <w:i w:val="0"/>
                <w:iCs w:val="0"/>
                <w:caps w:val="0"/>
                <w:color w:val="0F1115"/>
                <w:spacing w:val="0"/>
                <w:sz w:val="18"/>
                <w:szCs w:val="18"/>
                <w:shd w:val="clear" w:fill="FFFFFF"/>
                <w:vertAlign w:val="subscript"/>
                <w:lang w:val="en-US" w:eastAsia="zh-CN"/>
              </w:rPr>
              <w:t>2</w:t>
            </w:r>
            <w:r>
              <w:rPr>
                <w:rFonts w:hint="eastAsia" w:ascii="宋体" w:hAnsi="宋体" w:eastAsia="宋体" w:cs="宋体"/>
                <w:i w:val="0"/>
                <w:iCs w:val="0"/>
                <w:caps w:val="0"/>
                <w:color w:val="0F1115"/>
                <w:spacing w:val="0"/>
                <w:sz w:val="18"/>
                <w:szCs w:val="18"/>
                <w:shd w:val="clear" w:fill="FFFFFF"/>
                <w:lang w:val="en-US" w:eastAsia="zh-CN"/>
              </w:rPr>
              <w:t>S向γ-C</w:t>
            </w:r>
            <w:r>
              <w:rPr>
                <w:rFonts w:hint="eastAsia" w:ascii="宋体" w:hAnsi="宋体" w:eastAsia="宋体" w:cs="宋体"/>
                <w:i w:val="0"/>
                <w:iCs w:val="0"/>
                <w:caps w:val="0"/>
                <w:color w:val="0F1115"/>
                <w:spacing w:val="0"/>
                <w:sz w:val="18"/>
                <w:szCs w:val="18"/>
                <w:shd w:val="clear" w:fill="FFFFFF"/>
                <w:vertAlign w:val="subscript"/>
                <w:lang w:val="en-US" w:eastAsia="zh-CN"/>
              </w:rPr>
              <w:t>2</w:t>
            </w:r>
            <w:r>
              <w:rPr>
                <w:rFonts w:hint="eastAsia" w:ascii="宋体" w:hAnsi="宋体" w:eastAsia="宋体" w:cs="宋体"/>
                <w:i w:val="0"/>
                <w:iCs w:val="0"/>
                <w:caps w:val="0"/>
                <w:color w:val="0F1115"/>
                <w:spacing w:val="0"/>
                <w:sz w:val="18"/>
                <w:szCs w:val="18"/>
                <w:shd w:val="clear" w:fill="FFFFFF"/>
                <w:lang w:val="en-US" w:eastAsia="zh-CN"/>
              </w:rPr>
              <w:t>S转变，保留高活性晶相。（2）应用技术研究方面：宁夏、山西等镁冶炼集中地区率先开展了镁渣用作水泥熟料替代原料工业试验，开发出镁渣掺入水泥生料的工艺，确定了配比方案，生产的硅酸盐水泥熟料符合GB/T21372标准。研究表明，生料中加入10%左右的镁渣，煅烧时可起到良好的矿化效果。</w:t>
            </w:r>
          </w:p>
          <w:p w14:paraId="1E786B15">
            <w:pPr>
              <w:numPr>
                <w:ilvl w:val="0"/>
                <w:numId w:val="0"/>
              </w:numPr>
              <w:snapToGrid w:val="0"/>
              <w:spacing w:line="360" w:lineRule="auto"/>
              <w:ind w:firstLine="360" w:firstLineChars="200"/>
              <w:rPr>
                <w:rFonts w:hint="eastAsia" w:ascii="宋体" w:hAnsi="宋体" w:eastAsia="宋体"/>
                <w:sz w:val="18"/>
                <w:szCs w:val="18"/>
              </w:rPr>
            </w:pPr>
            <w:r>
              <w:rPr>
                <w:rFonts w:hint="eastAsia" w:ascii="宋体" w:hAnsi="宋体" w:eastAsia="宋体" w:cs="宋体"/>
                <w:i w:val="0"/>
                <w:iCs w:val="0"/>
                <w:caps w:val="0"/>
                <w:color w:val="0F1115"/>
                <w:spacing w:val="0"/>
                <w:sz w:val="18"/>
                <w:szCs w:val="18"/>
                <w:shd w:val="clear" w:fill="FFFFFF"/>
              </w:rPr>
              <w:t>国际上对镁渣的研究主要集中于镁磷酸盐水泥（MPC）、镁硅酸盐水（MSC）等领域。利用含镁工业固废替代煅烧菱镁矿制备水泥基材料，可显著降低碳排放和生产成本。以MgO制备传统MPC的碳排放强度超过普通硅酸盐水泥的90%，使用固废替代原料是重要的低碳路径。但目前国际上针对</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rPr>
              <w:t>镁渣直接用作硅酸盐水泥熟料替代原料</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rPr>
              <w:t>的系统性技术尚未形成，相关研究多处于实验室阶段。</w:t>
            </w:r>
          </w:p>
          <w:p w14:paraId="47AAA21C">
            <w:pPr>
              <w:numPr>
                <w:ilvl w:val="0"/>
                <w:numId w:val="1"/>
              </w:numPr>
              <w:snapToGrid w:val="0"/>
              <w:spacing w:line="360" w:lineRule="auto"/>
              <w:ind w:left="0" w:leftChars="0" w:firstLine="0" w:firstLineChars="0"/>
              <w:rPr>
                <w:rFonts w:hint="eastAsia" w:ascii="宋体" w:hAnsi="宋体" w:eastAsia="宋体"/>
                <w:sz w:val="18"/>
                <w:szCs w:val="18"/>
              </w:rPr>
            </w:pPr>
            <w:r>
              <w:rPr>
                <w:rFonts w:hint="eastAsia" w:ascii="宋体" w:hAnsi="宋体" w:eastAsia="宋体"/>
                <w:sz w:val="18"/>
                <w:szCs w:val="18"/>
                <w:u w:val="single"/>
              </w:rPr>
              <w:t>项目与国际标准或国外先进标准采用程度的考虑：</w:t>
            </w:r>
          </w:p>
          <w:p w14:paraId="63CC21B9">
            <w:pPr>
              <w:numPr>
                <w:ilvl w:val="0"/>
                <w:numId w:val="0"/>
              </w:numPr>
              <w:snapToGrid w:val="0"/>
              <w:spacing w:line="360" w:lineRule="auto"/>
              <w:ind w:leftChars="0" w:firstLine="360" w:firstLineChars="200"/>
              <w:rPr>
                <w:rFonts w:hint="eastAsia" w:ascii="宋体" w:hAnsi="宋体" w:eastAsia="宋体" w:cs="宋体"/>
                <w:sz w:val="18"/>
                <w:szCs w:val="18"/>
              </w:rPr>
            </w:pPr>
            <w:r>
              <w:rPr>
                <w:rFonts w:hint="eastAsia" w:ascii="宋体" w:hAnsi="宋体" w:eastAsia="宋体" w:cs="宋体"/>
                <w:i w:val="0"/>
                <w:iCs w:val="0"/>
                <w:caps w:val="0"/>
                <w:color w:val="0F1115"/>
                <w:spacing w:val="0"/>
                <w:sz w:val="18"/>
                <w:szCs w:val="18"/>
                <w:shd w:val="clear" w:fill="FFFFFF"/>
              </w:rPr>
              <w:t>经检索和调研，目前国际标准化组织（ISO）及主要发达国家标准化机构尚未发布专门针对</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rPr>
              <w:t>镁渣用作水泥熟料替代原料</w:t>
            </w:r>
            <w:r>
              <w:rPr>
                <w:rFonts w:hint="eastAsia" w:ascii="宋体" w:hAnsi="宋体" w:eastAsia="宋体" w:cs="宋体"/>
                <w:i w:val="0"/>
                <w:iCs w:val="0"/>
                <w:caps w:val="0"/>
                <w:color w:val="0F1115"/>
                <w:spacing w:val="0"/>
                <w:sz w:val="18"/>
                <w:szCs w:val="18"/>
                <w:shd w:val="clear" w:fill="FFFFFF"/>
                <w:lang w:eastAsia="zh-CN"/>
              </w:rPr>
              <w:t>”</w:t>
            </w:r>
            <w:r>
              <w:rPr>
                <w:rFonts w:hint="eastAsia" w:ascii="宋体" w:hAnsi="宋体" w:eastAsia="宋体" w:cs="宋体"/>
                <w:i w:val="0"/>
                <w:iCs w:val="0"/>
                <w:caps w:val="0"/>
                <w:color w:val="0F1115"/>
                <w:spacing w:val="0"/>
                <w:sz w:val="18"/>
                <w:szCs w:val="18"/>
                <w:shd w:val="clear" w:fill="FFFFFF"/>
              </w:rPr>
              <w:t>的技术标准或规范。国外研究多为实验室阶段的基础研究，尚未形成成熟的工程应用体系。我国镁渣产量大、镁冶炼工艺独特（占全球80%以上），本标准将结合我国镁渣特性（皮江法炼镁工艺产生的还原渣）及水泥工业实际工况，以国内工业试验和应用经验为主要依据，国外研究成果作为补充参考。</w:t>
            </w:r>
          </w:p>
          <w:p w14:paraId="1C060719">
            <w:pPr>
              <w:numPr>
                <w:ilvl w:val="0"/>
                <w:numId w:val="1"/>
              </w:numPr>
              <w:snapToGrid w:val="0"/>
              <w:spacing w:line="360" w:lineRule="auto"/>
              <w:ind w:left="0" w:leftChars="0" w:firstLine="0" w:firstLineChars="0"/>
              <w:rPr>
                <w:rFonts w:hint="eastAsia" w:ascii="宋体" w:hAnsi="宋体" w:eastAsia="宋体"/>
                <w:sz w:val="18"/>
                <w:szCs w:val="18"/>
              </w:rPr>
            </w:pPr>
            <w:r>
              <w:rPr>
                <w:rFonts w:hint="eastAsia" w:ascii="宋体" w:hAnsi="宋体" w:eastAsia="宋体"/>
                <w:sz w:val="18"/>
                <w:szCs w:val="18"/>
                <w:u w:val="single"/>
              </w:rPr>
              <w:t>与国内相关标准间的关系：</w:t>
            </w:r>
          </w:p>
          <w:p w14:paraId="282AEB5C">
            <w:pPr>
              <w:numPr>
                <w:ilvl w:val="0"/>
                <w:numId w:val="0"/>
              </w:numPr>
              <w:snapToGrid w:val="0"/>
              <w:spacing w:line="360" w:lineRule="auto"/>
              <w:ind w:leftChars="0" w:firstLine="360" w:firstLineChars="200"/>
              <w:rPr>
                <w:rFonts w:hint="eastAsia" w:ascii="宋体" w:hAnsi="宋体" w:eastAsia="宋体"/>
                <w:sz w:val="18"/>
                <w:szCs w:val="18"/>
              </w:rPr>
            </w:pPr>
            <w:r>
              <w:rPr>
                <w:rFonts w:hint="eastAsia" w:ascii="宋体" w:hAnsi="宋体" w:eastAsia="宋体"/>
                <w:sz w:val="18"/>
                <w:szCs w:val="18"/>
              </w:rPr>
              <w:t>目前国内相关标准包括</w:t>
            </w:r>
            <w:r>
              <w:rPr>
                <w:rFonts w:hint="eastAsia" w:ascii="宋体" w:hAnsi="宋体" w:eastAsia="宋体"/>
                <w:sz w:val="18"/>
                <w:szCs w:val="18"/>
                <w:lang w:val="en-US" w:eastAsia="zh-CN"/>
              </w:rPr>
              <w:t>GB/T23933-2009《镁渣硅酸盐水泥》、</w:t>
            </w:r>
            <w:r>
              <w:rPr>
                <w:rFonts w:hint="default" w:ascii="宋体" w:hAnsi="宋体" w:eastAsia="宋体" w:cs="Times New Roman"/>
                <w:kern w:val="2"/>
                <w:sz w:val="18"/>
                <w:szCs w:val="18"/>
                <w:lang w:val="en-US" w:eastAsia="zh-CN" w:bidi="ar-SA"/>
              </w:rPr>
              <w:t>YS/T1804-2025《镁冶炼渣回收处理技术规范》</w:t>
            </w:r>
            <w:r>
              <w:rPr>
                <w:rFonts w:hint="eastAsia" w:ascii="宋体" w:hAnsi="宋体" w:eastAsia="宋体" w:cs="Times New Roman"/>
                <w:kern w:val="2"/>
                <w:sz w:val="18"/>
                <w:szCs w:val="18"/>
                <w:lang w:val="en-US" w:eastAsia="zh-CN" w:bidi="ar-SA"/>
              </w:rPr>
              <w:t>、</w:t>
            </w:r>
            <w:r>
              <w:rPr>
                <w:rFonts w:hint="default" w:ascii="宋体" w:hAnsi="宋体" w:eastAsia="宋体" w:cs="Times New Roman"/>
                <w:kern w:val="2"/>
                <w:sz w:val="18"/>
                <w:szCs w:val="18"/>
                <w:lang w:val="en-US" w:eastAsia="zh-CN" w:bidi="ar-SA"/>
              </w:rPr>
              <w:t>DB6108/T115-2025《镁渣资源化利用技术规范》</w:t>
            </w:r>
            <w:r>
              <w:rPr>
                <w:rFonts w:hint="eastAsia" w:ascii="宋体" w:hAnsi="宋体" w:eastAsia="宋体" w:cs="Times New Roman"/>
                <w:kern w:val="2"/>
                <w:sz w:val="18"/>
                <w:szCs w:val="18"/>
                <w:lang w:val="en-US" w:eastAsia="zh-CN" w:bidi="ar-SA"/>
              </w:rPr>
              <w:t>、</w:t>
            </w:r>
            <w:r>
              <w:rPr>
                <w:rFonts w:hint="eastAsia" w:ascii="宋体" w:hAnsi="宋体" w:eastAsia="宋体"/>
                <w:sz w:val="18"/>
                <w:szCs w:val="18"/>
                <w:lang w:val="en-US" w:eastAsia="zh-CN"/>
              </w:rPr>
              <w:t>T/CBMF246-</w:t>
            </w:r>
            <w:r>
              <w:rPr>
                <w:rFonts w:hint="default" w:ascii="宋体" w:hAnsi="宋体" w:eastAsia="宋体"/>
                <w:sz w:val="18"/>
                <w:szCs w:val="18"/>
                <w:lang w:val="en-US" w:eastAsia="zh-CN"/>
              </w:rPr>
              <w:t>2023</w:t>
            </w:r>
            <w:r>
              <w:rPr>
                <w:rFonts w:hint="eastAsia" w:ascii="宋体" w:hAnsi="宋体" w:eastAsia="宋体"/>
                <w:sz w:val="18"/>
                <w:szCs w:val="18"/>
                <w:lang w:eastAsia="zh-CN"/>
              </w:rPr>
              <w:t>《</w:t>
            </w:r>
            <w:r>
              <w:rPr>
                <w:rFonts w:hint="eastAsia" w:ascii="宋体" w:hAnsi="宋体" w:eastAsia="宋体"/>
                <w:sz w:val="18"/>
                <w:szCs w:val="18"/>
                <w:lang w:val="en-US" w:eastAsia="zh-CN"/>
              </w:rPr>
              <w:t>用于水泥中的镁渣</w:t>
            </w:r>
            <w:r>
              <w:rPr>
                <w:rFonts w:hint="eastAsia" w:ascii="宋体" w:hAnsi="宋体" w:eastAsia="宋体"/>
                <w:sz w:val="18"/>
                <w:szCs w:val="18"/>
                <w:lang w:eastAsia="zh-CN"/>
              </w:rPr>
              <w:t>》</w:t>
            </w:r>
            <w:r>
              <w:rPr>
                <w:rFonts w:hint="eastAsia" w:ascii="宋体" w:hAnsi="宋体" w:eastAsia="宋体"/>
                <w:sz w:val="18"/>
                <w:szCs w:val="18"/>
              </w:rPr>
              <w:t>等。</w:t>
            </w:r>
          </w:p>
          <w:p w14:paraId="606D5C15">
            <w:pPr>
              <w:numPr>
                <w:ilvl w:val="0"/>
                <w:numId w:val="0"/>
              </w:numPr>
              <w:snapToGrid w:val="0"/>
              <w:spacing w:line="360" w:lineRule="auto"/>
              <w:ind w:firstLine="360" w:firstLineChars="200"/>
              <w:rPr>
                <w:rFonts w:hint="eastAsia" w:ascii="宋体" w:hAnsi="宋体" w:eastAsia="宋体"/>
                <w:sz w:val="18"/>
                <w:szCs w:val="18"/>
                <w:lang w:val="en-US" w:eastAsia="zh-CN"/>
              </w:rPr>
            </w:pPr>
            <w:r>
              <w:rPr>
                <w:rFonts w:hint="eastAsia" w:ascii="宋体" w:hAnsi="宋体" w:eastAsia="宋体"/>
                <w:sz w:val="18"/>
                <w:szCs w:val="18"/>
                <w:lang w:val="en-US" w:eastAsia="zh-CN"/>
              </w:rPr>
              <w:t>国家标准GB/T23933-2009《镁渣硅酸盐水泥》</w:t>
            </w:r>
            <w:r>
              <w:rPr>
                <w:rFonts w:hint="default" w:ascii="宋体" w:hAnsi="宋体" w:eastAsia="宋体"/>
                <w:sz w:val="18"/>
                <w:szCs w:val="18"/>
                <w:lang w:val="en-US" w:eastAsia="zh-CN"/>
              </w:rPr>
              <w:t>标准规定了镁渣硅酸盐水泥的组分、材料、强度等级、技术要求、试验方法、检验规则等</w:t>
            </w:r>
            <w:r>
              <w:rPr>
                <w:rFonts w:hint="eastAsia" w:ascii="宋体" w:hAnsi="宋体" w:eastAsia="宋体"/>
                <w:sz w:val="18"/>
                <w:szCs w:val="18"/>
                <w:lang w:val="en-US" w:eastAsia="zh-CN"/>
              </w:rPr>
              <w:t>，</w:t>
            </w:r>
            <w:r>
              <w:rPr>
                <w:rFonts w:hint="default" w:ascii="宋体" w:hAnsi="宋体" w:eastAsia="宋体"/>
                <w:sz w:val="18"/>
                <w:szCs w:val="18"/>
                <w:lang w:val="en-US" w:eastAsia="zh-CN"/>
              </w:rPr>
              <w:t>针对的是以镁渣作为混合材生产的水泥产品，而非镁渣作为水泥熟料生产过程中的替代原料</w:t>
            </w:r>
            <w:r>
              <w:rPr>
                <w:rFonts w:hint="eastAsia" w:ascii="宋体" w:hAnsi="宋体" w:eastAsia="宋体"/>
                <w:sz w:val="18"/>
                <w:szCs w:val="18"/>
                <w:lang w:val="en-US" w:eastAsia="zh-CN"/>
              </w:rPr>
              <w:t>。</w:t>
            </w:r>
            <w:r>
              <w:rPr>
                <w:rFonts w:hint="default" w:ascii="宋体" w:hAnsi="宋体" w:eastAsia="宋体" w:cs="Times New Roman"/>
                <w:kern w:val="2"/>
                <w:sz w:val="18"/>
                <w:szCs w:val="18"/>
                <w:lang w:val="en-US" w:eastAsia="zh-CN" w:bidi="ar-SA"/>
              </w:rPr>
              <w:t>行业标准YS/T1804-2025《镁冶炼渣回收处理技术规范》适用于以镁冶炼渣为原料或掺合</w:t>
            </w:r>
            <w:r>
              <w:rPr>
                <w:rFonts w:hint="default" w:ascii="宋体" w:hAnsi="宋体" w:eastAsia="宋体"/>
                <w:sz w:val="18"/>
                <w:szCs w:val="18"/>
                <w:lang w:val="en-US" w:eastAsia="zh-CN"/>
              </w:rPr>
              <w:t>料，用于生产铺路砖、免烧砖、水泥等产品，或作为回填材料进行回收处理</w:t>
            </w:r>
            <w:r>
              <w:rPr>
                <w:rFonts w:hint="eastAsia" w:ascii="宋体" w:hAnsi="宋体" w:eastAsia="宋体"/>
                <w:sz w:val="18"/>
                <w:szCs w:val="18"/>
                <w:lang w:val="en-US" w:eastAsia="zh-CN"/>
              </w:rPr>
              <w:t>。</w:t>
            </w:r>
            <w:r>
              <w:rPr>
                <w:rFonts w:hint="default" w:ascii="宋体" w:hAnsi="宋体" w:eastAsia="宋体"/>
                <w:sz w:val="18"/>
                <w:szCs w:val="18"/>
                <w:lang w:val="en-US" w:eastAsia="zh-CN"/>
              </w:rPr>
              <w:t>地方标准DB6108/T115-2025《镁渣资源化利用技术规范》</w:t>
            </w:r>
            <w:r>
              <w:rPr>
                <w:rFonts w:hint="eastAsia" w:ascii="宋体" w:hAnsi="宋体" w:eastAsia="宋体"/>
                <w:sz w:val="18"/>
                <w:szCs w:val="18"/>
                <w:lang w:val="en-US" w:eastAsia="zh-CN"/>
              </w:rPr>
              <w:t>适用范围为</w:t>
            </w:r>
            <w:r>
              <w:rPr>
                <w:rFonts w:hint="eastAsia" w:ascii="宋体" w:hAnsi="宋体" w:eastAsia="宋体"/>
                <w:sz w:val="18"/>
                <w:szCs w:val="18"/>
              </w:rPr>
              <w:t>镁渣</w:t>
            </w:r>
            <w:r>
              <w:rPr>
                <w:rFonts w:hint="default" w:ascii="宋体" w:hAnsi="宋体" w:eastAsia="宋体"/>
                <w:sz w:val="18"/>
                <w:szCs w:val="18"/>
                <w:lang w:val="en-US" w:eastAsia="zh-CN"/>
              </w:rPr>
              <w:t>在水泥稳定材料、混凝土和砂浆中的应用</w:t>
            </w:r>
            <w:r>
              <w:rPr>
                <w:rFonts w:hint="default" w:ascii="宋体" w:hAnsi="宋体" w:eastAsia="宋体"/>
                <w:sz w:val="18"/>
                <w:szCs w:val="18"/>
              </w:rPr>
              <w:t>技术，规定了镁渣作为矿物掺合料用于部分替代水泥的使用要求</w:t>
            </w:r>
            <w:r>
              <w:rPr>
                <w:rFonts w:hint="eastAsia" w:ascii="宋体" w:hAnsi="宋体" w:eastAsia="宋体"/>
                <w:sz w:val="18"/>
                <w:szCs w:val="18"/>
                <w:lang w:val="en-US" w:eastAsia="zh-CN"/>
              </w:rPr>
              <w:t>。团体标准T/CBMF246-</w:t>
            </w:r>
            <w:r>
              <w:rPr>
                <w:rFonts w:hint="default" w:ascii="宋体" w:hAnsi="宋体" w:eastAsia="宋体"/>
                <w:sz w:val="18"/>
                <w:szCs w:val="18"/>
                <w:lang w:val="en-US" w:eastAsia="zh-CN"/>
              </w:rPr>
              <w:t>2023</w:t>
            </w:r>
            <w:r>
              <w:rPr>
                <w:rFonts w:hint="eastAsia" w:ascii="宋体" w:hAnsi="宋体" w:eastAsia="宋体"/>
                <w:sz w:val="18"/>
                <w:szCs w:val="18"/>
                <w:lang w:val="en-US" w:eastAsia="zh-CN"/>
              </w:rPr>
              <w:t>《用于水泥中的镁渣》规定了作为水泥混合材的镁渣的技术要求，如氧化镁、烧失量、游离氧化钙质量分数以及活性指数等。</w:t>
            </w:r>
          </w:p>
          <w:p w14:paraId="60C86A41">
            <w:pPr>
              <w:numPr>
                <w:ilvl w:val="0"/>
                <w:numId w:val="0"/>
              </w:numPr>
              <w:snapToGrid w:val="0"/>
              <w:spacing w:line="360" w:lineRule="auto"/>
              <w:ind w:firstLine="360" w:firstLineChars="200"/>
              <w:rPr>
                <w:rFonts w:hint="default" w:ascii="宋体" w:hAnsi="宋体" w:eastAsia="宋体" w:cs="Times New Roman"/>
                <w:kern w:val="2"/>
                <w:sz w:val="18"/>
                <w:szCs w:val="18"/>
                <w:lang w:val="en-US" w:eastAsia="zh-CN" w:bidi="ar-SA"/>
              </w:rPr>
            </w:pPr>
            <w:r>
              <w:rPr>
                <w:rFonts w:hint="default" w:ascii="宋体" w:hAnsi="宋体" w:eastAsia="宋体" w:cs="Times New Roman"/>
                <w:kern w:val="2"/>
                <w:sz w:val="18"/>
                <w:szCs w:val="18"/>
                <w:lang w:val="en-US" w:eastAsia="zh-CN" w:bidi="ar-SA"/>
              </w:rPr>
              <w:t>本标准项目在镁渣综合利用标准体系中聚焦“水泥熟料替代原料”这一细分方向，与现有标准形成互补和衔接，共同构成较为完整的镁渣资源化利用标准体系。</w:t>
            </w:r>
          </w:p>
          <w:p w14:paraId="663A8D23">
            <w:pPr>
              <w:snapToGrid w:val="0"/>
              <w:spacing w:line="360" w:lineRule="auto"/>
              <w:rPr>
                <w:rFonts w:hint="eastAsia" w:ascii="宋体" w:hAnsi="宋体" w:eastAsia="宋体"/>
                <w:sz w:val="18"/>
                <w:szCs w:val="18"/>
                <w:u w:val="single"/>
              </w:rPr>
            </w:pPr>
            <w:r>
              <w:rPr>
                <w:rFonts w:hint="eastAsia" w:ascii="宋体" w:hAnsi="宋体" w:eastAsia="宋体"/>
                <w:sz w:val="18"/>
                <w:szCs w:val="18"/>
                <w:u w:val="single"/>
              </w:rPr>
              <w:t>4. 指出是否发现有知识产权的问题。</w:t>
            </w:r>
          </w:p>
          <w:p w14:paraId="6E01ECA3">
            <w:pPr>
              <w:snapToGrid w:val="0"/>
              <w:spacing w:line="360" w:lineRule="auto"/>
              <w:ind w:firstLine="360" w:firstLineChars="200"/>
              <w:rPr>
                <w:rFonts w:hint="eastAsia" w:ascii="宋体" w:hAnsi="宋体" w:eastAsia="宋体"/>
                <w:sz w:val="18"/>
                <w:szCs w:val="18"/>
              </w:rPr>
            </w:pPr>
            <w:r>
              <w:rPr>
                <w:rFonts w:hint="eastAsia" w:eastAsiaTheme="minorEastAsia"/>
                <w:sz w:val="18"/>
                <w:szCs w:val="18"/>
                <w:shd w:val="clear" w:color="auto" w:fill="FFFFFF"/>
              </w:rPr>
              <w:t>该标准的制定</w:t>
            </w:r>
            <w:r>
              <w:rPr>
                <w:rFonts w:ascii="宋体" w:hAnsi="宋体" w:eastAsia="宋体"/>
                <w:sz w:val="18"/>
                <w:szCs w:val="18"/>
              </w:rPr>
              <w:t>目前</w:t>
            </w:r>
            <w:r>
              <w:rPr>
                <w:rFonts w:hint="eastAsia" w:ascii="宋体" w:hAnsi="宋体" w:eastAsia="宋体"/>
                <w:sz w:val="18"/>
                <w:szCs w:val="18"/>
              </w:rPr>
              <w:t>未发现</w:t>
            </w:r>
            <w:r>
              <w:rPr>
                <w:rFonts w:hint="eastAsia" w:ascii="宋体" w:hAnsi="宋体" w:eastAsia="宋体"/>
                <w:sz w:val="18"/>
                <w:szCs w:val="18"/>
                <w:lang w:val="en-US" w:eastAsia="zh-CN"/>
              </w:rPr>
              <w:t>有知识产权问题</w:t>
            </w:r>
            <w:r>
              <w:rPr>
                <w:rFonts w:hint="eastAsia" w:ascii="宋体" w:hAnsi="宋体" w:eastAsia="宋体"/>
                <w:sz w:val="18"/>
                <w:szCs w:val="18"/>
              </w:rPr>
              <w:t>。</w:t>
            </w:r>
          </w:p>
        </w:tc>
      </w:tr>
      <w:tr w14:paraId="2478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050" w:type="dxa"/>
            <w:vAlign w:val="center"/>
          </w:tcPr>
          <w:p w14:paraId="61744424">
            <w:pPr>
              <w:pStyle w:val="4"/>
              <w:tabs>
                <w:tab w:val="clear" w:pos="4153"/>
                <w:tab w:val="clear" w:pos="8306"/>
              </w:tabs>
              <w:spacing w:line="360" w:lineRule="auto"/>
              <w:rPr>
                <w:rFonts w:hint="eastAsia" w:ascii="宋体" w:hAnsi="宋体" w:eastAsia="宋体"/>
              </w:rPr>
            </w:pPr>
            <w:r>
              <w:rPr>
                <w:rFonts w:hint="eastAsia" w:ascii="宋体" w:hAnsi="宋体" w:eastAsia="宋体"/>
              </w:rPr>
              <w:t>牵头单位</w:t>
            </w:r>
          </w:p>
        </w:tc>
        <w:tc>
          <w:tcPr>
            <w:tcW w:w="4089" w:type="dxa"/>
            <w:gridSpan w:val="5"/>
            <w:vAlign w:val="center"/>
          </w:tcPr>
          <w:p w14:paraId="446701D4">
            <w:pPr>
              <w:snapToGrid w:val="0"/>
              <w:spacing w:line="360" w:lineRule="auto"/>
              <w:jc w:val="center"/>
              <w:rPr>
                <w:rFonts w:hint="default" w:ascii="宋体" w:hAnsi="宋体" w:eastAsia="宋体"/>
                <w:sz w:val="18"/>
                <w:szCs w:val="18"/>
                <w:lang w:val="en-US" w:eastAsia="zh-CN"/>
              </w:rPr>
            </w:pPr>
            <w:r>
              <w:rPr>
                <w:rFonts w:hint="eastAsia" w:ascii="宋体" w:hAnsi="宋体" w:eastAsia="宋体"/>
                <w:sz w:val="18"/>
                <w:szCs w:val="18"/>
                <w:lang w:val="en-US" w:eastAsia="zh-CN"/>
              </w:rPr>
              <w:t>北京建筑材料科学研究总院有限公司</w:t>
            </w:r>
          </w:p>
          <w:p w14:paraId="3EBDF94F">
            <w:pPr>
              <w:snapToGrid w:val="0"/>
              <w:spacing w:line="360" w:lineRule="auto"/>
              <w:jc w:val="center"/>
              <w:rPr>
                <w:rFonts w:hint="eastAsia"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14:paraId="191216A1">
            <w:pPr>
              <w:snapToGrid w:val="0"/>
              <w:spacing w:line="360" w:lineRule="auto"/>
              <w:jc w:val="center"/>
              <w:rPr>
                <w:rFonts w:hint="eastAsia" w:ascii="宋体" w:hAnsi="宋体" w:eastAsia="宋体"/>
                <w:sz w:val="18"/>
                <w:szCs w:val="18"/>
              </w:rPr>
            </w:pPr>
            <w:r>
              <w:rPr>
                <w:rFonts w:hint="eastAsia" w:ascii="宋体" w:hAnsi="宋体" w:eastAsia="宋体"/>
                <w:sz w:val="18"/>
                <w:szCs w:val="18"/>
              </w:rPr>
              <w:t>归口管理部门</w:t>
            </w:r>
          </w:p>
        </w:tc>
        <w:tc>
          <w:tcPr>
            <w:tcW w:w="1900" w:type="dxa"/>
            <w:vAlign w:val="center"/>
          </w:tcPr>
          <w:p w14:paraId="65FAEA8A">
            <w:pPr>
              <w:snapToGrid w:val="0"/>
              <w:spacing w:line="360" w:lineRule="auto"/>
              <w:rPr>
                <w:rFonts w:hint="eastAsia" w:ascii="宋体" w:hAnsi="宋体" w:eastAsia="宋体"/>
                <w:sz w:val="18"/>
                <w:szCs w:val="18"/>
              </w:rPr>
            </w:pPr>
          </w:p>
          <w:p w14:paraId="660497FB">
            <w:pPr>
              <w:snapToGrid w:val="0"/>
              <w:rPr>
                <w:rFonts w:hint="eastAsia" w:ascii="宋体" w:hAnsi="宋体" w:eastAsia="宋体"/>
                <w:sz w:val="18"/>
                <w:szCs w:val="18"/>
              </w:rPr>
            </w:pPr>
            <w:r>
              <w:rPr>
                <w:rFonts w:hint="eastAsia" w:ascii="宋体" w:hAnsi="宋体" w:eastAsia="宋体"/>
                <w:sz w:val="18"/>
                <w:szCs w:val="18"/>
              </w:rPr>
              <w:t>（签字、盖公章）</w:t>
            </w:r>
          </w:p>
          <w:p w14:paraId="59476EF2">
            <w:pPr>
              <w:snapToGrid w:val="0"/>
              <w:rPr>
                <w:rFonts w:hint="eastAsia" w:ascii="宋体" w:hAnsi="宋体" w:eastAsia="宋体"/>
                <w:sz w:val="18"/>
                <w:szCs w:val="18"/>
              </w:rPr>
            </w:pPr>
            <w:r>
              <w:rPr>
                <w:rFonts w:hint="eastAsia" w:ascii="宋体" w:hAnsi="宋体" w:eastAsia="宋体"/>
                <w:sz w:val="18"/>
                <w:szCs w:val="18"/>
              </w:rPr>
              <w:t xml:space="preserve">    月     日</w:t>
            </w:r>
          </w:p>
        </w:tc>
      </w:tr>
    </w:tbl>
    <w:p w14:paraId="2D080B62">
      <w:pPr>
        <w:snapToGrid w:val="0"/>
        <w:spacing w:before="156"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28A973FD">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07D36C08">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54E42E72">
      <w:pPr>
        <w:snapToGrid w:val="0"/>
        <w:rPr>
          <w:sz w:val="18"/>
          <w:szCs w:val="18"/>
        </w:rPr>
      </w:pPr>
    </w:p>
    <w:p w14:paraId="3B62C62C">
      <w:pPr>
        <w:snapToGrid w:val="0"/>
        <w:rPr>
          <w:sz w:val="18"/>
          <w:szCs w:val="18"/>
        </w:rPr>
      </w:pPr>
    </w:p>
    <w:p w14:paraId="2599FB80">
      <w:pPr>
        <w:snapToGrid w:val="0"/>
        <w:spacing w:line="360" w:lineRule="auto"/>
        <w:ind w:firstLine="380" w:firstLineChars="200"/>
        <w:rPr>
          <w:rFonts w:hint="eastAsia" w:ascii="Segoe UI" w:hAnsi="Segoe UI" w:eastAsia="宋体" w:cs="Segoe UI"/>
          <w:i w:val="0"/>
          <w:iCs w:val="0"/>
          <w:caps w:val="0"/>
          <w:color w:val="0F1115"/>
          <w:spacing w:val="0"/>
          <w:sz w:val="19"/>
          <w:szCs w:val="19"/>
          <w:shd w:val="clear" w:fill="FFFFFF"/>
          <w:lang w:eastAsia="zh-CN"/>
        </w:rPr>
      </w:pPr>
    </w:p>
    <w:p w14:paraId="13187D91">
      <w:pPr>
        <w:snapToGrid w:val="0"/>
        <w:rPr>
          <w:sz w:val="18"/>
          <w:szCs w:val="18"/>
        </w:rPr>
      </w:pPr>
    </w:p>
    <w:p w14:paraId="50D6A6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Segoe UI">
    <w:panose1 w:val="020B0502040204020203"/>
    <w:charset w:val="00"/>
    <w:family w:val="auto"/>
    <w:pitch w:val="default"/>
    <w:sig w:usb0="E4002EFF" w:usb1="C000E47F" w:usb2="00000009" w:usb3="00000000" w:csb0="200001FF" w:csb1="00000000"/>
  </w:font>
  <w:font w:name="FZS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DDBADB"/>
    <w:multiLevelType w:val="singleLevel"/>
    <w:tmpl w:val="DEDDBAD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499"/>
    <w:rsid w:val="00013654"/>
    <w:rsid w:val="00015F3C"/>
    <w:rsid w:val="00050C1C"/>
    <w:rsid w:val="000E54DF"/>
    <w:rsid w:val="000F4147"/>
    <w:rsid w:val="001856BA"/>
    <w:rsid w:val="001A4716"/>
    <w:rsid w:val="0024133B"/>
    <w:rsid w:val="002F56E0"/>
    <w:rsid w:val="00314295"/>
    <w:rsid w:val="003B64D6"/>
    <w:rsid w:val="00406BFB"/>
    <w:rsid w:val="00425A1B"/>
    <w:rsid w:val="00481283"/>
    <w:rsid w:val="00542E17"/>
    <w:rsid w:val="00631028"/>
    <w:rsid w:val="00747499"/>
    <w:rsid w:val="0077089D"/>
    <w:rsid w:val="0077319E"/>
    <w:rsid w:val="007E2499"/>
    <w:rsid w:val="00974F98"/>
    <w:rsid w:val="00991ADF"/>
    <w:rsid w:val="009A6D9B"/>
    <w:rsid w:val="00A3045F"/>
    <w:rsid w:val="00A47A75"/>
    <w:rsid w:val="00A618D0"/>
    <w:rsid w:val="00AA4AD1"/>
    <w:rsid w:val="00BA1A55"/>
    <w:rsid w:val="00DD46A0"/>
    <w:rsid w:val="00E03E1D"/>
    <w:rsid w:val="00E2709B"/>
    <w:rsid w:val="00E46AD2"/>
    <w:rsid w:val="00E93729"/>
    <w:rsid w:val="00EB467C"/>
    <w:rsid w:val="00F44F79"/>
    <w:rsid w:val="00F7264B"/>
    <w:rsid w:val="00FA3402"/>
    <w:rsid w:val="00FE042F"/>
    <w:rsid w:val="0100390C"/>
    <w:rsid w:val="010F1DA1"/>
    <w:rsid w:val="01284C10"/>
    <w:rsid w:val="012C2953"/>
    <w:rsid w:val="015D0D5E"/>
    <w:rsid w:val="01791910"/>
    <w:rsid w:val="017E2A82"/>
    <w:rsid w:val="0183453D"/>
    <w:rsid w:val="01B42948"/>
    <w:rsid w:val="02302DC5"/>
    <w:rsid w:val="02810A7C"/>
    <w:rsid w:val="02C866AB"/>
    <w:rsid w:val="02CE4475"/>
    <w:rsid w:val="03215DBB"/>
    <w:rsid w:val="03C230FA"/>
    <w:rsid w:val="03E94B2B"/>
    <w:rsid w:val="03F31506"/>
    <w:rsid w:val="04043713"/>
    <w:rsid w:val="04363AE8"/>
    <w:rsid w:val="047775AF"/>
    <w:rsid w:val="04B30C95"/>
    <w:rsid w:val="04B574F8"/>
    <w:rsid w:val="04EB042F"/>
    <w:rsid w:val="04F80D9E"/>
    <w:rsid w:val="05467D5B"/>
    <w:rsid w:val="05760640"/>
    <w:rsid w:val="05860158"/>
    <w:rsid w:val="05A01219"/>
    <w:rsid w:val="05E03D0C"/>
    <w:rsid w:val="06035C4C"/>
    <w:rsid w:val="061D6D0E"/>
    <w:rsid w:val="06316315"/>
    <w:rsid w:val="064F49ED"/>
    <w:rsid w:val="06744454"/>
    <w:rsid w:val="068F128E"/>
    <w:rsid w:val="069B5E85"/>
    <w:rsid w:val="06B17456"/>
    <w:rsid w:val="06F2019A"/>
    <w:rsid w:val="0728596A"/>
    <w:rsid w:val="07506C6F"/>
    <w:rsid w:val="075C5614"/>
    <w:rsid w:val="077C5CB6"/>
    <w:rsid w:val="077E1A2E"/>
    <w:rsid w:val="077E37DC"/>
    <w:rsid w:val="077F04D9"/>
    <w:rsid w:val="07A1396F"/>
    <w:rsid w:val="08202AE5"/>
    <w:rsid w:val="08400A92"/>
    <w:rsid w:val="086A5B0F"/>
    <w:rsid w:val="087617DF"/>
    <w:rsid w:val="08A13C26"/>
    <w:rsid w:val="08BD20E2"/>
    <w:rsid w:val="08D37B58"/>
    <w:rsid w:val="08EE04EE"/>
    <w:rsid w:val="09322AD0"/>
    <w:rsid w:val="095742E5"/>
    <w:rsid w:val="09840E52"/>
    <w:rsid w:val="0A382368"/>
    <w:rsid w:val="0A4725AB"/>
    <w:rsid w:val="0A5B7E05"/>
    <w:rsid w:val="0A6A629A"/>
    <w:rsid w:val="0A6B6FCF"/>
    <w:rsid w:val="0A6F1B02"/>
    <w:rsid w:val="0A782765"/>
    <w:rsid w:val="0AB614DF"/>
    <w:rsid w:val="0ABE2142"/>
    <w:rsid w:val="0AC0410C"/>
    <w:rsid w:val="0AD100C7"/>
    <w:rsid w:val="0AF65D7F"/>
    <w:rsid w:val="0B093D05"/>
    <w:rsid w:val="0B224DC6"/>
    <w:rsid w:val="0B550CF8"/>
    <w:rsid w:val="0B8F617F"/>
    <w:rsid w:val="0BA61553"/>
    <w:rsid w:val="0BD47E6F"/>
    <w:rsid w:val="0BE34556"/>
    <w:rsid w:val="0BFC1173"/>
    <w:rsid w:val="0C403756"/>
    <w:rsid w:val="0C6D5AEE"/>
    <w:rsid w:val="0C7E090C"/>
    <w:rsid w:val="0C945850"/>
    <w:rsid w:val="0CA041F5"/>
    <w:rsid w:val="0CB41A4E"/>
    <w:rsid w:val="0D240982"/>
    <w:rsid w:val="0D3A01A5"/>
    <w:rsid w:val="0D3F756A"/>
    <w:rsid w:val="0D7C6A10"/>
    <w:rsid w:val="0D7F205C"/>
    <w:rsid w:val="0DAE46EF"/>
    <w:rsid w:val="0DB5782C"/>
    <w:rsid w:val="0DCD1019"/>
    <w:rsid w:val="0DDE3227"/>
    <w:rsid w:val="0DE14AC5"/>
    <w:rsid w:val="0DF26CD2"/>
    <w:rsid w:val="0E26697C"/>
    <w:rsid w:val="0E3966AF"/>
    <w:rsid w:val="0E4532A6"/>
    <w:rsid w:val="0E567261"/>
    <w:rsid w:val="0EAD149C"/>
    <w:rsid w:val="0ECF2B6F"/>
    <w:rsid w:val="0F451083"/>
    <w:rsid w:val="0F7A2ADB"/>
    <w:rsid w:val="0FBD6E6C"/>
    <w:rsid w:val="0FD52407"/>
    <w:rsid w:val="10101691"/>
    <w:rsid w:val="105A46BB"/>
    <w:rsid w:val="107C0AD5"/>
    <w:rsid w:val="109951E3"/>
    <w:rsid w:val="10AF2C58"/>
    <w:rsid w:val="10DB3A4D"/>
    <w:rsid w:val="10F468BD"/>
    <w:rsid w:val="110034B4"/>
    <w:rsid w:val="11034D52"/>
    <w:rsid w:val="11050ACA"/>
    <w:rsid w:val="11454700"/>
    <w:rsid w:val="117A3266"/>
    <w:rsid w:val="117D2D56"/>
    <w:rsid w:val="11812847"/>
    <w:rsid w:val="11A004BB"/>
    <w:rsid w:val="11B85B3D"/>
    <w:rsid w:val="11C10E95"/>
    <w:rsid w:val="11E9219A"/>
    <w:rsid w:val="11F823DD"/>
    <w:rsid w:val="12280F14"/>
    <w:rsid w:val="12296A3A"/>
    <w:rsid w:val="123C051C"/>
    <w:rsid w:val="12486EC1"/>
    <w:rsid w:val="125A4E46"/>
    <w:rsid w:val="126D2DCB"/>
    <w:rsid w:val="12A06CFD"/>
    <w:rsid w:val="12B5207C"/>
    <w:rsid w:val="12DB7D35"/>
    <w:rsid w:val="12F62DC0"/>
    <w:rsid w:val="133D454B"/>
    <w:rsid w:val="133E02C4"/>
    <w:rsid w:val="134A4EBA"/>
    <w:rsid w:val="135950FD"/>
    <w:rsid w:val="13904FC3"/>
    <w:rsid w:val="13E470BD"/>
    <w:rsid w:val="13EB21F9"/>
    <w:rsid w:val="144638D4"/>
    <w:rsid w:val="14C8078D"/>
    <w:rsid w:val="14F52C04"/>
    <w:rsid w:val="1528122B"/>
    <w:rsid w:val="154D0C92"/>
    <w:rsid w:val="1585042C"/>
    <w:rsid w:val="15A72150"/>
    <w:rsid w:val="15B91E83"/>
    <w:rsid w:val="15C90318"/>
    <w:rsid w:val="15EC1737"/>
    <w:rsid w:val="15EF3AF7"/>
    <w:rsid w:val="15F01D49"/>
    <w:rsid w:val="161F43DC"/>
    <w:rsid w:val="16F21AF1"/>
    <w:rsid w:val="17214184"/>
    <w:rsid w:val="172D48D7"/>
    <w:rsid w:val="173C4B1A"/>
    <w:rsid w:val="179D1A5D"/>
    <w:rsid w:val="17B44B23"/>
    <w:rsid w:val="17DA4A5F"/>
    <w:rsid w:val="18041ADC"/>
    <w:rsid w:val="18624A54"/>
    <w:rsid w:val="188E75F7"/>
    <w:rsid w:val="189A41EE"/>
    <w:rsid w:val="18B51028"/>
    <w:rsid w:val="18F338FE"/>
    <w:rsid w:val="194447B8"/>
    <w:rsid w:val="19F33BB6"/>
    <w:rsid w:val="1A0D279E"/>
    <w:rsid w:val="1A6E5932"/>
    <w:rsid w:val="1A7840BB"/>
    <w:rsid w:val="1AB772D9"/>
    <w:rsid w:val="1ACD2659"/>
    <w:rsid w:val="1AD02149"/>
    <w:rsid w:val="1AEE25CF"/>
    <w:rsid w:val="1AFC07EC"/>
    <w:rsid w:val="1B6B1E72"/>
    <w:rsid w:val="1B9118D8"/>
    <w:rsid w:val="1BAB1637"/>
    <w:rsid w:val="1BB67591"/>
    <w:rsid w:val="1C3F7586"/>
    <w:rsid w:val="1C4526C3"/>
    <w:rsid w:val="1C626DD1"/>
    <w:rsid w:val="1C6E7E6B"/>
    <w:rsid w:val="1CB57848"/>
    <w:rsid w:val="1CDF48C5"/>
    <w:rsid w:val="1CF85987"/>
    <w:rsid w:val="1CFC7225"/>
    <w:rsid w:val="1D061E52"/>
    <w:rsid w:val="1D152095"/>
    <w:rsid w:val="1D161002"/>
    <w:rsid w:val="1D4B5AB7"/>
    <w:rsid w:val="1D50131F"/>
    <w:rsid w:val="1D9F5E03"/>
    <w:rsid w:val="1DBA2C3C"/>
    <w:rsid w:val="1DC1221D"/>
    <w:rsid w:val="1DCB4E4A"/>
    <w:rsid w:val="1DCD2970"/>
    <w:rsid w:val="1DD261D8"/>
    <w:rsid w:val="1E0740D4"/>
    <w:rsid w:val="1E0D1DC3"/>
    <w:rsid w:val="1E1C1002"/>
    <w:rsid w:val="1E2F53D8"/>
    <w:rsid w:val="1E3B5B2B"/>
    <w:rsid w:val="1E601A36"/>
    <w:rsid w:val="1E8F5E77"/>
    <w:rsid w:val="1E965458"/>
    <w:rsid w:val="1ED8781E"/>
    <w:rsid w:val="1F185E6D"/>
    <w:rsid w:val="1F486752"/>
    <w:rsid w:val="1F4E188E"/>
    <w:rsid w:val="1F8452B0"/>
    <w:rsid w:val="200F7270"/>
    <w:rsid w:val="20166C70"/>
    <w:rsid w:val="203767C6"/>
    <w:rsid w:val="20BD416F"/>
    <w:rsid w:val="20F621DE"/>
    <w:rsid w:val="210668C5"/>
    <w:rsid w:val="21091F11"/>
    <w:rsid w:val="211014F1"/>
    <w:rsid w:val="21222FD3"/>
    <w:rsid w:val="215533A8"/>
    <w:rsid w:val="215D225D"/>
    <w:rsid w:val="217355DC"/>
    <w:rsid w:val="2177331E"/>
    <w:rsid w:val="21871088"/>
    <w:rsid w:val="218E68BA"/>
    <w:rsid w:val="22206098"/>
    <w:rsid w:val="224F429B"/>
    <w:rsid w:val="226A69DF"/>
    <w:rsid w:val="22AC6FF8"/>
    <w:rsid w:val="22B42350"/>
    <w:rsid w:val="22BE6D2B"/>
    <w:rsid w:val="22E20C6B"/>
    <w:rsid w:val="22F62969"/>
    <w:rsid w:val="22FB1D2D"/>
    <w:rsid w:val="23563407"/>
    <w:rsid w:val="23952182"/>
    <w:rsid w:val="23A6613D"/>
    <w:rsid w:val="23DC56BB"/>
    <w:rsid w:val="23E46C65"/>
    <w:rsid w:val="242B4894"/>
    <w:rsid w:val="24466FD8"/>
    <w:rsid w:val="244A6AC8"/>
    <w:rsid w:val="2492046F"/>
    <w:rsid w:val="24AF2DCF"/>
    <w:rsid w:val="24C0322E"/>
    <w:rsid w:val="251A293E"/>
    <w:rsid w:val="251B2213"/>
    <w:rsid w:val="256516E0"/>
    <w:rsid w:val="25697422"/>
    <w:rsid w:val="256E67E6"/>
    <w:rsid w:val="257638ED"/>
    <w:rsid w:val="25AD37B3"/>
    <w:rsid w:val="25FF1B34"/>
    <w:rsid w:val="264B6B28"/>
    <w:rsid w:val="264D28A0"/>
    <w:rsid w:val="26555BF8"/>
    <w:rsid w:val="26735A53"/>
    <w:rsid w:val="26751DF6"/>
    <w:rsid w:val="269C55D5"/>
    <w:rsid w:val="26B11081"/>
    <w:rsid w:val="26F45411"/>
    <w:rsid w:val="273A72C8"/>
    <w:rsid w:val="27541A0C"/>
    <w:rsid w:val="27637E7B"/>
    <w:rsid w:val="27795CE4"/>
    <w:rsid w:val="278E4F1E"/>
    <w:rsid w:val="27983A1F"/>
    <w:rsid w:val="27C052F3"/>
    <w:rsid w:val="27DA4607"/>
    <w:rsid w:val="27F8683B"/>
    <w:rsid w:val="282B4E63"/>
    <w:rsid w:val="28812B87"/>
    <w:rsid w:val="28953A96"/>
    <w:rsid w:val="28BC5ABB"/>
    <w:rsid w:val="295D54F0"/>
    <w:rsid w:val="29791BFE"/>
    <w:rsid w:val="297B5976"/>
    <w:rsid w:val="29831A5F"/>
    <w:rsid w:val="298F4F7D"/>
    <w:rsid w:val="29AC1FD3"/>
    <w:rsid w:val="29BB2216"/>
    <w:rsid w:val="29D07A70"/>
    <w:rsid w:val="29DD3F3B"/>
    <w:rsid w:val="29E67293"/>
    <w:rsid w:val="2A092F82"/>
    <w:rsid w:val="2A241B69"/>
    <w:rsid w:val="2A585CB7"/>
    <w:rsid w:val="2A615575"/>
    <w:rsid w:val="2A88659C"/>
    <w:rsid w:val="2A9036A3"/>
    <w:rsid w:val="2A905451"/>
    <w:rsid w:val="2AD4533E"/>
    <w:rsid w:val="2AD73080"/>
    <w:rsid w:val="2B0100FD"/>
    <w:rsid w:val="2B013C59"/>
    <w:rsid w:val="2B2160A9"/>
    <w:rsid w:val="2B2A31B0"/>
    <w:rsid w:val="2B2F6981"/>
    <w:rsid w:val="2B65068C"/>
    <w:rsid w:val="2B717030"/>
    <w:rsid w:val="2B7E174D"/>
    <w:rsid w:val="2C097269"/>
    <w:rsid w:val="2C3A38C6"/>
    <w:rsid w:val="2C5030EA"/>
    <w:rsid w:val="2C5C1A8E"/>
    <w:rsid w:val="2C8E776E"/>
    <w:rsid w:val="2C8F70B7"/>
    <w:rsid w:val="2C90798A"/>
    <w:rsid w:val="2CAF6062"/>
    <w:rsid w:val="2CFC0B7C"/>
    <w:rsid w:val="2D200D0E"/>
    <w:rsid w:val="2D3E1194"/>
    <w:rsid w:val="2DCC2C44"/>
    <w:rsid w:val="2DD85145"/>
    <w:rsid w:val="2DDD6BFF"/>
    <w:rsid w:val="2DE7182C"/>
    <w:rsid w:val="2DF06932"/>
    <w:rsid w:val="2E04418C"/>
    <w:rsid w:val="2E3B3926"/>
    <w:rsid w:val="2E9574DA"/>
    <w:rsid w:val="2EAD65D1"/>
    <w:rsid w:val="2F2148C9"/>
    <w:rsid w:val="2F503401"/>
    <w:rsid w:val="2F601896"/>
    <w:rsid w:val="2F9432ED"/>
    <w:rsid w:val="2FB120F1"/>
    <w:rsid w:val="2FF26266"/>
    <w:rsid w:val="30297EDA"/>
    <w:rsid w:val="307153DD"/>
    <w:rsid w:val="30B005FB"/>
    <w:rsid w:val="30BC0D4E"/>
    <w:rsid w:val="30C16223"/>
    <w:rsid w:val="30C74740"/>
    <w:rsid w:val="30C96FC7"/>
    <w:rsid w:val="30D53BBD"/>
    <w:rsid w:val="310E5321"/>
    <w:rsid w:val="311566B0"/>
    <w:rsid w:val="31322DBE"/>
    <w:rsid w:val="317C672F"/>
    <w:rsid w:val="3210337C"/>
    <w:rsid w:val="326E7E26"/>
    <w:rsid w:val="327C753A"/>
    <w:rsid w:val="32AC6BA0"/>
    <w:rsid w:val="32FD11AA"/>
    <w:rsid w:val="33061F6E"/>
    <w:rsid w:val="330662B0"/>
    <w:rsid w:val="331D184C"/>
    <w:rsid w:val="336456CD"/>
    <w:rsid w:val="33C00B55"/>
    <w:rsid w:val="33CD6DCE"/>
    <w:rsid w:val="340F73E6"/>
    <w:rsid w:val="34F0546A"/>
    <w:rsid w:val="35103416"/>
    <w:rsid w:val="35134CB4"/>
    <w:rsid w:val="35411821"/>
    <w:rsid w:val="356D139C"/>
    <w:rsid w:val="3583008C"/>
    <w:rsid w:val="359027A9"/>
    <w:rsid w:val="35942299"/>
    <w:rsid w:val="35A46254"/>
    <w:rsid w:val="35BF6BEA"/>
    <w:rsid w:val="35C506A4"/>
    <w:rsid w:val="35CD57AB"/>
    <w:rsid w:val="363870C8"/>
    <w:rsid w:val="36575075"/>
    <w:rsid w:val="36C73FA8"/>
    <w:rsid w:val="36EF52AD"/>
    <w:rsid w:val="37113475"/>
    <w:rsid w:val="372C02AF"/>
    <w:rsid w:val="37865C12"/>
    <w:rsid w:val="378D6FA0"/>
    <w:rsid w:val="379D2F5B"/>
    <w:rsid w:val="37CD3840"/>
    <w:rsid w:val="37FD2868"/>
    <w:rsid w:val="3801798E"/>
    <w:rsid w:val="38B92017"/>
    <w:rsid w:val="38BB5D8F"/>
    <w:rsid w:val="38C435DA"/>
    <w:rsid w:val="38F8669B"/>
    <w:rsid w:val="39186D3D"/>
    <w:rsid w:val="392576AC"/>
    <w:rsid w:val="39333B77"/>
    <w:rsid w:val="393F42CA"/>
    <w:rsid w:val="39455658"/>
    <w:rsid w:val="39736669"/>
    <w:rsid w:val="397B107A"/>
    <w:rsid w:val="398919E9"/>
    <w:rsid w:val="39C944DB"/>
    <w:rsid w:val="39DC420F"/>
    <w:rsid w:val="39EC3D26"/>
    <w:rsid w:val="3A013C75"/>
    <w:rsid w:val="3A52002D"/>
    <w:rsid w:val="3AFB06C4"/>
    <w:rsid w:val="3B07396F"/>
    <w:rsid w:val="3B201ED9"/>
    <w:rsid w:val="3B710987"/>
    <w:rsid w:val="3BBD597A"/>
    <w:rsid w:val="3BC907C3"/>
    <w:rsid w:val="3BD333EF"/>
    <w:rsid w:val="3BD57167"/>
    <w:rsid w:val="3C3976F6"/>
    <w:rsid w:val="3C7544A7"/>
    <w:rsid w:val="3C7A386B"/>
    <w:rsid w:val="3CA64660"/>
    <w:rsid w:val="3CEC4769"/>
    <w:rsid w:val="3D115F7D"/>
    <w:rsid w:val="3D127F47"/>
    <w:rsid w:val="3D6407A3"/>
    <w:rsid w:val="3D711112"/>
    <w:rsid w:val="3D842BF3"/>
    <w:rsid w:val="3D89020A"/>
    <w:rsid w:val="3DF37D79"/>
    <w:rsid w:val="3E012496"/>
    <w:rsid w:val="3E027FBC"/>
    <w:rsid w:val="3E126451"/>
    <w:rsid w:val="3E29379B"/>
    <w:rsid w:val="3E5A3954"/>
    <w:rsid w:val="3EB43064"/>
    <w:rsid w:val="3EC55271"/>
    <w:rsid w:val="3EC7548D"/>
    <w:rsid w:val="3EED2A1A"/>
    <w:rsid w:val="3F2C52F0"/>
    <w:rsid w:val="3F487C50"/>
    <w:rsid w:val="3F4F0FDF"/>
    <w:rsid w:val="3F591E5E"/>
    <w:rsid w:val="3F84512C"/>
    <w:rsid w:val="3FC714BD"/>
    <w:rsid w:val="4001677D"/>
    <w:rsid w:val="40153FD6"/>
    <w:rsid w:val="40183AC7"/>
    <w:rsid w:val="402D7572"/>
    <w:rsid w:val="40920538"/>
    <w:rsid w:val="40ED4F53"/>
    <w:rsid w:val="40F736DC"/>
    <w:rsid w:val="412D35A2"/>
    <w:rsid w:val="413761CE"/>
    <w:rsid w:val="416C40CA"/>
    <w:rsid w:val="41A575DC"/>
    <w:rsid w:val="41B94E35"/>
    <w:rsid w:val="41BE41FA"/>
    <w:rsid w:val="42116A20"/>
    <w:rsid w:val="4258464E"/>
    <w:rsid w:val="425A2175"/>
    <w:rsid w:val="427E2307"/>
    <w:rsid w:val="42A653BA"/>
    <w:rsid w:val="42CD2946"/>
    <w:rsid w:val="42DA1507"/>
    <w:rsid w:val="43317379"/>
    <w:rsid w:val="43650DD1"/>
    <w:rsid w:val="43884ABF"/>
    <w:rsid w:val="439873F8"/>
    <w:rsid w:val="43EC32A0"/>
    <w:rsid w:val="44986F84"/>
    <w:rsid w:val="44A41DCD"/>
    <w:rsid w:val="44BD69EB"/>
    <w:rsid w:val="44D206E8"/>
    <w:rsid w:val="44D77AAC"/>
    <w:rsid w:val="44FD328B"/>
    <w:rsid w:val="45046FB0"/>
    <w:rsid w:val="45D87F80"/>
    <w:rsid w:val="46340F2E"/>
    <w:rsid w:val="465F41FD"/>
    <w:rsid w:val="46D02A05"/>
    <w:rsid w:val="46DD15C6"/>
    <w:rsid w:val="46F72688"/>
    <w:rsid w:val="47264D1B"/>
    <w:rsid w:val="474B2FD1"/>
    <w:rsid w:val="475F022D"/>
    <w:rsid w:val="476A10AC"/>
    <w:rsid w:val="477E6905"/>
    <w:rsid w:val="4780267D"/>
    <w:rsid w:val="478A52AA"/>
    <w:rsid w:val="47AF4D11"/>
    <w:rsid w:val="47CD33E9"/>
    <w:rsid w:val="47E81FD1"/>
    <w:rsid w:val="47F170D7"/>
    <w:rsid w:val="481132D5"/>
    <w:rsid w:val="481E3C44"/>
    <w:rsid w:val="4823125B"/>
    <w:rsid w:val="4860425D"/>
    <w:rsid w:val="486C2C02"/>
    <w:rsid w:val="4876582E"/>
    <w:rsid w:val="48904B42"/>
    <w:rsid w:val="48AE4FC8"/>
    <w:rsid w:val="48B60321"/>
    <w:rsid w:val="48D83DF3"/>
    <w:rsid w:val="48F84495"/>
    <w:rsid w:val="49066BB2"/>
    <w:rsid w:val="494E0559"/>
    <w:rsid w:val="499248EA"/>
    <w:rsid w:val="49A14B2D"/>
    <w:rsid w:val="49B91E77"/>
    <w:rsid w:val="49C16F7D"/>
    <w:rsid w:val="49EA2030"/>
    <w:rsid w:val="49F27137"/>
    <w:rsid w:val="4A3239D7"/>
    <w:rsid w:val="4A3D4856"/>
    <w:rsid w:val="4A407EA2"/>
    <w:rsid w:val="4A5E2A1E"/>
    <w:rsid w:val="4A802994"/>
    <w:rsid w:val="4AA2290B"/>
    <w:rsid w:val="4AAF5028"/>
    <w:rsid w:val="4AD66A58"/>
    <w:rsid w:val="4AEC002A"/>
    <w:rsid w:val="4B11183E"/>
    <w:rsid w:val="4B3F0159"/>
    <w:rsid w:val="4B7F38EA"/>
    <w:rsid w:val="4BBA1ED6"/>
    <w:rsid w:val="4BCB40E3"/>
    <w:rsid w:val="4BDC3BFA"/>
    <w:rsid w:val="4BE40D01"/>
    <w:rsid w:val="4BEA27BB"/>
    <w:rsid w:val="4C194E4E"/>
    <w:rsid w:val="4C9B1D07"/>
    <w:rsid w:val="4CBB5F06"/>
    <w:rsid w:val="4CF136D5"/>
    <w:rsid w:val="4D0B0C3B"/>
    <w:rsid w:val="4D207A5F"/>
    <w:rsid w:val="4D700A9E"/>
    <w:rsid w:val="4D761E2D"/>
    <w:rsid w:val="4D7F5185"/>
    <w:rsid w:val="4D857F0A"/>
    <w:rsid w:val="4DD059E1"/>
    <w:rsid w:val="4DE90850"/>
    <w:rsid w:val="4E481A1B"/>
    <w:rsid w:val="4E4C150B"/>
    <w:rsid w:val="4E4D7031"/>
    <w:rsid w:val="4E555EE6"/>
    <w:rsid w:val="4E661EA1"/>
    <w:rsid w:val="4E726A98"/>
    <w:rsid w:val="4E881E17"/>
    <w:rsid w:val="4E8D38D2"/>
    <w:rsid w:val="4EFA0F67"/>
    <w:rsid w:val="4F272494"/>
    <w:rsid w:val="4F624D5E"/>
    <w:rsid w:val="4F7379D2"/>
    <w:rsid w:val="4F8C3B89"/>
    <w:rsid w:val="4FAB07E1"/>
    <w:rsid w:val="4FE614EB"/>
    <w:rsid w:val="50245B70"/>
    <w:rsid w:val="50502E09"/>
    <w:rsid w:val="505A5A36"/>
    <w:rsid w:val="509251CF"/>
    <w:rsid w:val="50D852D8"/>
    <w:rsid w:val="50F33EC0"/>
    <w:rsid w:val="51204589"/>
    <w:rsid w:val="51621046"/>
    <w:rsid w:val="5167040A"/>
    <w:rsid w:val="51730B5D"/>
    <w:rsid w:val="51750D79"/>
    <w:rsid w:val="518A5EA7"/>
    <w:rsid w:val="519D5BDA"/>
    <w:rsid w:val="51AB479B"/>
    <w:rsid w:val="51E97071"/>
    <w:rsid w:val="51EB103B"/>
    <w:rsid w:val="521C2FA3"/>
    <w:rsid w:val="52642B9B"/>
    <w:rsid w:val="528D7CC4"/>
    <w:rsid w:val="52943481"/>
    <w:rsid w:val="52B256B5"/>
    <w:rsid w:val="52C803C3"/>
    <w:rsid w:val="5311687F"/>
    <w:rsid w:val="532C36B9"/>
    <w:rsid w:val="534D3630"/>
    <w:rsid w:val="534E1882"/>
    <w:rsid w:val="53553BCE"/>
    <w:rsid w:val="53590226"/>
    <w:rsid w:val="536F17F8"/>
    <w:rsid w:val="53890B0C"/>
    <w:rsid w:val="53966D85"/>
    <w:rsid w:val="53B536AF"/>
    <w:rsid w:val="53F341D7"/>
    <w:rsid w:val="545509EE"/>
    <w:rsid w:val="54624EB9"/>
    <w:rsid w:val="54931516"/>
    <w:rsid w:val="54CA318A"/>
    <w:rsid w:val="55654C60"/>
    <w:rsid w:val="561641AD"/>
    <w:rsid w:val="561D19DF"/>
    <w:rsid w:val="56486A5C"/>
    <w:rsid w:val="56505911"/>
    <w:rsid w:val="566E3FE9"/>
    <w:rsid w:val="569E48CE"/>
    <w:rsid w:val="56AB6FEB"/>
    <w:rsid w:val="56D007FF"/>
    <w:rsid w:val="56D95906"/>
    <w:rsid w:val="56ED315F"/>
    <w:rsid w:val="56ED7603"/>
    <w:rsid w:val="570046B2"/>
    <w:rsid w:val="57853398"/>
    <w:rsid w:val="57B36157"/>
    <w:rsid w:val="58474AF1"/>
    <w:rsid w:val="58831FCD"/>
    <w:rsid w:val="589917F1"/>
    <w:rsid w:val="58AC1DB0"/>
    <w:rsid w:val="58B959EF"/>
    <w:rsid w:val="59103135"/>
    <w:rsid w:val="59254E33"/>
    <w:rsid w:val="594828CF"/>
    <w:rsid w:val="59613991"/>
    <w:rsid w:val="596A4F3B"/>
    <w:rsid w:val="59AC7302"/>
    <w:rsid w:val="59CF1242"/>
    <w:rsid w:val="5A24333C"/>
    <w:rsid w:val="5A470DD9"/>
    <w:rsid w:val="5A7476F4"/>
    <w:rsid w:val="5A8E4040"/>
    <w:rsid w:val="5ABA5A4E"/>
    <w:rsid w:val="5ABC5B1F"/>
    <w:rsid w:val="5B0171D9"/>
    <w:rsid w:val="5B1C04B7"/>
    <w:rsid w:val="5B57504B"/>
    <w:rsid w:val="5B661732"/>
    <w:rsid w:val="5B692B86"/>
    <w:rsid w:val="5B7025B1"/>
    <w:rsid w:val="5B7F45A2"/>
    <w:rsid w:val="5B841BB9"/>
    <w:rsid w:val="5B8D4F11"/>
    <w:rsid w:val="5BA364E3"/>
    <w:rsid w:val="5C3378A4"/>
    <w:rsid w:val="5C3929A3"/>
    <w:rsid w:val="5C471564"/>
    <w:rsid w:val="5C910A31"/>
    <w:rsid w:val="5CB862BA"/>
    <w:rsid w:val="5CFC40FC"/>
    <w:rsid w:val="5D186A5C"/>
    <w:rsid w:val="5D213B63"/>
    <w:rsid w:val="5D355860"/>
    <w:rsid w:val="5D6323CD"/>
    <w:rsid w:val="5D845EA0"/>
    <w:rsid w:val="5D88799D"/>
    <w:rsid w:val="5D92680F"/>
    <w:rsid w:val="5DB42C29"/>
    <w:rsid w:val="5DD24E5D"/>
    <w:rsid w:val="5E053485"/>
    <w:rsid w:val="5E8C7702"/>
    <w:rsid w:val="5EB36A3D"/>
    <w:rsid w:val="5ED66BCF"/>
    <w:rsid w:val="5F1871E8"/>
    <w:rsid w:val="5F4C0C3F"/>
    <w:rsid w:val="5F795ED8"/>
    <w:rsid w:val="5F7F1015"/>
    <w:rsid w:val="5FA34D03"/>
    <w:rsid w:val="5FBC5DC5"/>
    <w:rsid w:val="5FC609F2"/>
    <w:rsid w:val="5FEA2932"/>
    <w:rsid w:val="5FFC2665"/>
    <w:rsid w:val="602F47E9"/>
    <w:rsid w:val="60451A42"/>
    <w:rsid w:val="607D5554"/>
    <w:rsid w:val="60AE7E03"/>
    <w:rsid w:val="60E92BEA"/>
    <w:rsid w:val="60EA6962"/>
    <w:rsid w:val="611063C8"/>
    <w:rsid w:val="611F485D"/>
    <w:rsid w:val="619A0388"/>
    <w:rsid w:val="619C5EAE"/>
    <w:rsid w:val="61A46B11"/>
    <w:rsid w:val="61D45648"/>
    <w:rsid w:val="62B66AFB"/>
    <w:rsid w:val="62C31218"/>
    <w:rsid w:val="62FF4946"/>
    <w:rsid w:val="63041F5D"/>
    <w:rsid w:val="631321A0"/>
    <w:rsid w:val="637D1D0F"/>
    <w:rsid w:val="63846BFA"/>
    <w:rsid w:val="63DF02D4"/>
    <w:rsid w:val="64373C6C"/>
    <w:rsid w:val="64460353"/>
    <w:rsid w:val="645B3DFE"/>
    <w:rsid w:val="645C1924"/>
    <w:rsid w:val="64A62BA0"/>
    <w:rsid w:val="64C01EB3"/>
    <w:rsid w:val="64F16511"/>
    <w:rsid w:val="64F658D5"/>
    <w:rsid w:val="658A0505"/>
    <w:rsid w:val="65931376"/>
    <w:rsid w:val="65A25A5D"/>
    <w:rsid w:val="65D379C4"/>
    <w:rsid w:val="65F22540"/>
    <w:rsid w:val="66884C53"/>
    <w:rsid w:val="66A01F9C"/>
    <w:rsid w:val="671958AB"/>
    <w:rsid w:val="673646AF"/>
    <w:rsid w:val="675D1C3B"/>
    <w:rsid w:val="675E7762"/>
    <w:rsid w:val="677D408C"/>
    <w:rsid w:val="67A930D3"/>
    <w:rsid w:val="681349F0"/>
    <w:rsid w:val="682543C3"/>
    <w:rsid w:val="6864524C"/>
    <w:rsid w:val="686B65DA"/>
    <w:rsid w:val="68AD274F"/>
    <w:rsid w:val="68AF4719"/>
    <w:rsid w:val="68AF64C7"/>
    <w:rsid w:val="68CA50AF"/>
    <w:rsid w:val="69635503"/>
    <w:rsid w:val="69763488"/>
    <w:rsid w:val="698E432E"/>
    <w:rsid w:val="69F148BD"/>
    <w:rsid w:val="6A1567FD"/>
    <w:rsid w:val="6A3A6264"/>
    <w:rsid w:val="6A4B221F"/>
    <w:rsid w:val="6A9A6D03"/>
    <w:rsid w:val="6AB204F0"/>
    <w:rsid w:val="6B00125C"/>
    <w:rsid w:val="6B1116BB"/>
    <w:rsid w:val="6B475BB5"/>
    <w:rsid w:val="6B5E5F82"/>
    <w:rsid w:val="6BE02E3B"/>
    <w:rsid w:val="6C0703C8"/>
    <w:rsid w:val="6C0C59DE"/>
    <w:rsid w:val="6C2E1DF8"/>
    <w:rsid w:val="6C353187"/>
    <w:rsid w:val="6C53360D"/>
    <w:rsid w:val="6C5F6456"/>
    <w:rsid w:val="6C8D2FC3"/>
    <w:rsid w:val="6CD7423E"/>
    <w:rsid w:val="6CD96208"/>
    <w:rsid w:val="6CE10C19"/>
    <w:rsid w:val="6D2F407A"/>
    <w:rsid w:val="6DA71E62"/>
    <w:rsid w:val="6DB14A8F"/>
    <w:rsid w:val="6E2C05BA"/>
    <w:rsid w:val="6E3851B0"/>
    <w:rsid w:val="6E781A51"/>
    <w:rsid w:val="6E7F06E9"/>
    <w:rsid w:val="6E851A78"/>
    <w:rsid w:val="6EB72579"/>
    <w:rsid w:val="6EC3650B"/>
    <w:rsid w:val="6ED722D3"/>
    <w:rsid w:val="6EE964AB"/>
    <w:rsid w:val="6F0B4673"/>
    <w:rsid w:val="6F125A01"/>
    <w:rsid w:val="6F286FD3"/>
    <w:rsid w:val="6F3C482C"/>
    <w:rsid w:val="6F433E0D"/>
    <w:rsid w:val="6FF15617"/>
    <w:rsid w:val="6FF43359"/>
    <w:rsid w:val="6FFD68FC"/>
    <w:rsid w:val="701D01BA"/>
    <w:rsid w:val="70221C74"/>
    <w:rsid w:val="70473489"/>
    <w:rsid w:val="704D7E21"/>
    <w:rsid w:val="704E18BF"/>
    <w:rsid w:val="708C533F"/>
    <w:rsid w:val="709C1A26"/>
    <w:rsid w:val="70B51743"/>
    <w:rsid w:val="70BA3C5B"/>
    <w:rsid w:val="70BD374B"/>
    <w:rsid w:val="70C66AA3"/>
    <w:rsid w:val="70FF3D63"/>
    <w:rsid w:val="712C6061"/>
    <w:rsid w:val="71327FEE"/>
    <w:rsid w:val="714D0F73"/>
    <w:rsid w:val="7157594D"/>
    <w:rsid w:val="71BB412E"/>
    <w:rsid w:val="722F68CA"/>
    <w:rsid w:val="7249798C"/>
    <w:rsid w:val="725E4ABA"/>
    <w:rsid w:val="72A72905"/>
    <w:rsid w:val="731358A4"/>
    <w:rsid w:val="7318110C"/>
    <w:rsid w:val="73813156"/>
    <w:rsid w:val="73832A2A"/>
    <w:rsid w:val="740578E3"/>
    <w:rsid w:val="740C3067"/>
    <w:rsid w:val="7439758C"/>
    <w:rsid w:val="74786307"/>
    <w:rsid w:val="747E1443"/>
    <w:rsid w:val="748A603A"/>
    <w:rsid w:val="749D5D6D"/>
    <w:rsid w:val="74A76BEC"/>
    <w:rsid w:val="74B84955"/>
    <w:rsid w:val="752913AF"/>
    <w:rsid w:val="75315F5B"/>
    <w:rsid w:val="753F0BD2"/>
    <w:rsid w:val="754601B3"/>
    <w:rsid w:val="75501031"/>
    <w:rsid w:val="755C1784"/>
    <w:rsid w:val="75840CDB"/>
    <w:rsid w:val="758D5DE2"/>
    <w:rsid w:val="759A405B"/>
    <w:rsid w:val="75BC1BF0"/>
    <w:rsid w:val="760B4F58"/>
    <w:rsid w:val="761C0F14"/>
    <w:rsid w:val="7630676D"/>
    <w:rsid w:val="763444AF"/>
    <w:rsid w:val="764566BC"/>
    <w:rsid w:val="765D3A06"/>
    <w:rsid w:val="766528BB"/>
    <w:rsid w:val="7671300D"/>
    <w:rsid w:val="76870A83"/>
    <w:rsid w:val="768C42EB"/>
    <w:rsid w:val="769767EC"/>
    <w:rsid w:val="76B455F0"/>
    <w:rsid w:val="7706409E"/>
    <w:rsid w:val="77304C77"/>
    <w:rsid w:val="775D7A36"/>
    <w:rsid w:val="77690189"/>
    <w:rsid w:val="77CE4490"/>
    <w:rsid w:val="77DF044B"/>
    <w:rsid w:val="77F4039A"/>
    <w:rsid w:val="77F55EC0"/>
    <w:rsid w:val="783C764B"/>
    <w:rsid w:val="783E1615"/>
    <w:rsid w:val="7859669D"/>
    <w:rsid w:val="7879089F"/>
    <w:rsid w:val="78880AE2"/>
    <w:rsid w:val="788A03B6"/>
    <w:rsid w:val="78917997"/>
    <w:rsid w:val="78A84CE1"/>
    <w:rsid w:val="78E57CE3"/>
    <w:rsid w:val="78FD327E"/>
    <w:rsid w:val="7931117A"/>
    <w:rsid w:val="795409C4"/>
    <w:rsid w:val="797846B3"/>
    <w:rsid w:val="79AB6836"/>
    <w:rsid w:val="79C478F8"/>
    <w:rsid w:val="79DD6C0C"/>
    <w:rsid w:val="79F006ED"/>
    <w:rsid w:val="79FE72AE"/>
    <w:rsid w:val="7A5A025C"/>
    <w:rsid w:val="7A7632E8"/>
    <w:rsid w:val="7A794B87"/>
    <w:rsid w:val="7ACA7190"/>
    <w:rsid w:val="7AE77D42"/>
    <w:rsid w:val="7AEE7323"/>
    <w:rsid w:val="7B046B46"/>
    <w:rsid w:val="7B114DBF"/>
    <w:rsid w:val="7B672C31"/>
    <w:rsid w:val="7B6A51D6"/>
    <w:rsid w:val="7BDF6C2E"/>
    <w:rsid w:val="7BE14791"/>
    <w:rsid w:val="7BE67FFA"/>
    <w:rsid w:val="7BF30969"/>
    <w:rsid w:val="7C0B3F04"/>
    <w:rsid w:val="7C266648"/>
    <w:rsid w:val="7C2D3E7B"/>
    <w:rsid w:val="7C490589"/>
    <w:rsid w:val="7C694787"/>
    <w:rsid w:val="7CA51C63"/>
    <w:rsid w:val="7CAF2AE1"/>
    <w:rsid w:val="7CBC51FE"/>
    <w:rsid w:val="7CCD2C16"/>
    <w:rsid w:val="7CE502B1"/>
    <w:rsid w:val="7D364FB1"/>
    <w:rsid w:val="7DC46119"/>
    <w:rsid w:val="7DC91981"/>
    <w:rsid w:val="7DCC6151"/>
    <w:rsid w:val="7DDD367E"/>
    <w:rsid w:val="7DF10ED8"/>
    <w:rsid w:val="7DFC3B04"/>
    <w:rsid w:val="7EC108AA"/>
    <w:rsid w:val="7ED4682F"/>
    <w:rsid w:val="7EF667A6"/>
    <w:rsid w:val="7F0864D9"/>
    <w:rsid w:val="7F17496E"/>
    <w:rsid w:val="7F213B20"/>
    <w:rsid w:val="7F2552DD"/>
    <w:rsid w:val="7F427C3D"/>
    <w:rsid w:val="7F565496"/>
    <w:rsid w:val="7F693AE8"/>
    <w:rsid w:val="7F6D458E"/>
    <w:rsid w:val="7F932247"/>
    <w:rsid w:val="7FBF1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semiHidden/>
    <w:unhideWhenUsed/>
    <w:qFormat/>
    <w:uiPriority w:val="99"/>
    <w:rPr>
      <w:sz w:val="24"/>
    </w:rPr>
  </w:style>
  <w:style w:type="character" w:styleId="8">
    <w:name w:val="Hyperlink"/>
    <w:basedOn w:val="7"/>
    <w:semiHidden/>
    <w:unhideWhenUsed/>
    <w:qFormat/>
    <w:uiPriority w:val="99"/>
    <w:rPr>
      <w:color w:val="0000FF"/>
      <w:u w:val="single"/>
    </w:rPr>
  </w:style>
  <w:style w:type="character" w:styleId="9">
    <w:name w:val="annotation reference"/>
    <w:basedOn w:val="7"/>
    <w:semiHidden/>
    <w:unhideWhenUsed/>
    <w:qFormat/>
    <w:uiPriority w:val="99"/>
    <w:rPr>
      <w:sz w:val="21"/>
      <w:szCs w:val="21"/>
    </w:rPr>
  </w:style>
  <w:style w:type="character" w:customStyle="1" w:styleId="10">
    <w:name w:val="页眉 字符"/>
    <w:basedOn w:val="7"/>
    <w:link w:val="4"/>
    <w:qFormat/>
    <w:uiPriority w:val="0"/>
    <w:rPr>
      <w:sz w:val="18"/>
      <w:szCs w:val="18"/>
    </w:rPr>
  </w:style>
  <w:style w:type="character" w:customStyle="1" w:styleId="11">
    <w:name w:val="页脚 字符"/>
    <w:basedOn w:val="7"/>
    <w:link w:val="3"/>
    <w:qFormat/>
    <w:uiPriority w:val="99"/>
    <w:rPr>
      <w:sz w:val="18"/>
      <w:szCs w:val="18"/>
    </w:rPr>
  </w:style>
  <w:style w:type="paragraph" w:customStyle="1" w:styleId="12">
    <w:name w:val="Revision"/>
    <w:hidden/>
    <w:unhideWhenUsed/>
    <w:qFormat/>
    <w:uiPriority w:val="99"/>
    <w:rPr>
      <w:rFonts w:ascii="Times New Roman" w:hAnsi="Times New Roman" w:eastAsia="仿宋_GB2312" w:cs="Times New Roman"/>
      <w:kern w:val="2"/>
      <w:sz w:val="28"/>
      <w:lang w:val="en-US" w:eastAsia="zh-CN" w:bidi="ar-SA"/>
    </w:rPr>
  </w:style>
  <w:style w:type="paragraph" w:customStyle="1" w:styleId="13">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3148</Words>
  <Characters>3548</Characters>
  <Lines>119</Lines>
  <Paragraphs>87</Paragraphs>
  <TotalTime>1</TotalTime>
  <ScaleCrop>false</ScaleCrop>
  <LinksUpToDate>false</LinksUpToDate>
  <CharactersWithSpaces>3588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朱延臣</cp:lastModifiedBy>
  <dcterms:modified xsi:type="dcterms:W3CDTF">2026-06-03T07:46:57Z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eyJoZGlkIjoiYTFmMTY5MjU0M2Y1OTY5OTdhYWMzNTRlYTdiMmY5MDQiLCJ1c2VySWQiOiIxNzQyODQ0OTEzIn0=</vt:lpwstr>
  </property>
  <property fmtid="{D5CDD505-2E9C-101B-9397-08002B2CF9AE}" pid="3" name="KSOProductBuildVer">
    <vt:lpwstr>2052-12.1.0.26375</vt:lpwstr>
  </property>
  <property fmtid="{D5CDD505-2E9C-101B-9397-08002B2CF9AE}" pid="4" name="ICV">
    <vt:lpwstr>7FDBF4E4BA5A44AEA996DD394C42A60E_13</vt:lpwstr>
  </property>
</Properties>
</file>